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charts/chart60.xml" ContentType="application/vnd.openxmlformats-officedocument.drawingml.chart+xml"/>
  <Override PartName="/word/theme/themeOverride54.xml" ContentType="application/vnd.openxmlformats-officedocument.themeOverrid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theme/themeOverride56.xml" ContentType="application/vnd.openxmlformats-officedocument.themeOverride+xml"/>
  <Override PartName="/word/charts/chart63.xml" ContentType="application/vnd.openxmlformats-officedocument.drawingml.chart+xml"/>
  <Override PartName="/word/theme/themeOverride57.xml" ContentType="application/vnd.openxmlformats-officedocument.themeOverride+xml"/>
  <Override PartName="/word/charts/chart64.xml" ContentType="application/vnd.openxmlformats-officedocument.drawingml.chart+xml"/>
  <Override PartName="/word/theme/themeOverride58.xml" ContentType="application/vnd.openxmlformats-officedocument.themeOverride+xml"/>
  <Override PartName="/word/charts/chart65.xml" ContentType="application/vnd.openxmlformats-officedocument.drawingml.chart+xml"/>
  <Override PartName="/word/theme/themeOverride59.xml" ContentType="application/vnd.openxmlformats-officedocument.themeOverride+xml"/>
  <Override PartName="/word/charts/chart66.xml" ContentType="application/vnd.openxmlformats-officedocument.drawingml.chart+xml"/>
  <Override PartName="/word/theme/themeOverride60.xml" ContentType="application/vnd.openxmlformats-officedocument.themeOverride+xml"/>
  <Override PartName="/word/charts/chart67.xml" ContentType="application/vnd.openxmlformats-officedocument.drawingml.chart+xml"/>
  <Override PartName="/word/theme/themeOverride61.xml" ContentType="application/vnd.openxmlformats-officedocument.themeOverride+xml"/>
  <Override PartName="/word/charts/chart68.xml" ContentType="application/vnd.openxmlformats-officedocument.drawingml.chart+xml"/>
  <Override PartName="/word/charts/chart69.xml" ContentType="application/vnd.openxmlformats-officedocument.drawingml.chart+xml"/>
  <Override PartName="/word/theme/themeOverride62.xml" ContentType="application/vnd.openxmlformats-officedocument.themeOverride+xml"/>
  <Override PartName="/word/charts/chart70.xml" ContentType="application/vnd.openxmlformats-officedocument.drawingml.chart+xml"/>
  <Override PartName="/word/theme/themeOverride63.xml" ContentType="application/vnd.openxmlformats-officedocument.themeOverride+xml"/>
  <Override PartName="/word/charts/chart71.xml" ContentType="application/vnd.openxmlformats-officedocument.drawingml.chart+xml"/>
  <Override PartName="/word/charts/chart72.xml" ContentType="application/vnd.openxmlformats-officedocument.drawingml.chart+xml"/>
  <Override PartName="/word/theme/themeOverride64.xml" ContentType="application/vnd.openxmlformats-officedocument.themeOverride+xml"/>
  <Override PartName="/word/charts/chart73.xml" ContentType="application/vnd.openxmlformats-officedocument.drawingml.chart+xml"/>
  <Override PartName="/word/theme/themeOverride65.xml" ContentType="application/vnd.openxmlformats-officedocument.themeOverride+xml"/>
  <Override PartName="/word/charts/chart74.xml" ContentType="application/vnd.openxmlformats-officedocument.drawingml.chart+xml"/>
  <Override PartName="/word/theme/themeOverride66.xml" ContentType="application/vnd.openxmlformats-officedocument.themeOverride+xml"/>
  <Override PartName="/word/charts/chart75.xml" ContentType="application/vnd.openxmlformats-officedocument.drawingml.chart+xml"/>
  <Override PartName="/word/theme/themeOverride67.xml" ContentType="application/vnd.openxmlformats-officedocument.themeOverride+xml"/>
  <Override PartName="/word/charts/chart76.xml" ContentType="application/vnd.openxmlformats-officedocument.drawingml.chart+xml"/>
  <Override PartName="/word/theme/themeOverride68.xml" ContentType="application/vnd.openxmlformats-officedocument.themeOverride+xml"/>
  <Override PartName="/word/charts/chart77.xml" ContentType="application/vnd.openxmlformats-officedocument.drawingml.chart+xml"/>
  <Override PartName="/word/theme/themeOverride69.xml" ContentType="application/vnd.openxmlformats-officedocument.themeOverride+xml"/>
  <Override PartName="/word/charts/chart78.xml" ContentType="application/vnd.openxmlformats-officedocument.drawingml.chart+xml"/>
  <Override PartName="/word/theme/themeOverride70.xml" ContentType="application/vnd.openxmlformats-officedocument.themeOverride+xml"/>
  <Override PartName="/word/charts/chart79.xml" ContentType="application/vnd.openxmlformats-officedocument.drawingml.chart+xml"/>
  <Override PartName="/word/theme/themeOverride71.xml" ContentType="application/vnd.openxmlformats-officedocument.themeOverride+xml"/>
  <Override PartName="/word/charts/chart80.xml" ContentType="application/vnd.openxmlformats-officedocument.drawingml.chart+xml"/>
  <Override PartName="/word/theme/themeOverride72.xml" ContentType="application/vnd.openxmlformats-officedocument.themeOverride+xml"/>
  <Override PartName="/word/charts/chart81.xml" ContentType="application/vnd.openxmlformats-officedocument.drawingml.chart+xml"/>
  <Override PartName="/word/theme/themeOverride73.xml" ContentType="application/vnd.openxmlformats-officedocument.themeOverride+xml"/>
  <Override PartName="/word/charts/chart82.xml" ContentType="application/vnd.openxmlformats-officedocument.drawingml.chart+xml"/>
  <Override PartName="/word/theme/themeOverride74.xml" ContentType="application/vnd.openxmlformats-officedocument.themeOverride+xml"/>
  <Override PartName="/word/charts/chart83.xml" ContentType="application/vnd.openxmlformats-officedocument.drawingml.chart+xml"/>
  <Override PartName="/word/theme/themeOverride75.xml" ContentType="application/vnd.openxmlformats-officedocument.themeOverride+xml"/>
  <Override PartName="/word/charts/chart84.xml" ContentType="application/vnd.openxmlformats-officedocument.drawingml.chart+xml"/>
  <Override PartName="/word/theme/themeOverride76.xml" ContentType="application/vnd.openxmlformats-officedocument.themeOverride+xml"/>
  <Override PartName="/word/charts/chart85.xml" ContentType="application/vnd.openxmlformats-officedocument.drawingml.chart+xml"/>
  <Override PartName="/word/theme/themeOverride77.xml" ContentType="application/vnd.openxmlformats-officedocument.themeOverride+xml"/>
  <Override PartName="/word/charts/chart86.xml" ContentType="application/vnd.openxmlformats-officedocument.drawingml.chart+xml"/>
  <Override PartName="/word/theme/themeOverride78.xml" ContentType="application/vnd.openxmlformats-officedocument.themeOverride+xml"/>
  <Override PartName="/word/charts/chart87.xml" ContentType="application/vnd.openxmlformats-officedocument.drawingml.chart+xml"/>
  <Override PartName="/word/theme/themeOverride79.xml" ContentType="application/vnd.openxmlformats-officedocument.themeOverride+xml"/>
  <Override PartName="/word/charts/chart88.xml" ContentType="application/vnd.openxmlformats-officedocument.drawingml.chart+xml"/>
  <Override PartName="/word/charts/chart89.xml" ContentType="application/vnd.openxmlformats-officedocument.drawingml.chart+xml"/>
  <Override PartName="/word/theme/themeOverride80.xml" ContentType="application/vnd.openxmlformats-officedocument.themeOverride+xml"/>
  <Override PartName="/word/charts/chart90.xml" ContentType="application/vnd.openxmlformats-officedocument.drawingml.chart+xml"/>
  <Override PartName="/word/theme/themeOverride81.xml" ContentType="application/vnd.openxmlformats-officedocument.themeOverride+xml"/>
  <Override PartName="/word/charts/chart91.xml" ContentType="application/vnd.openxmlformats-officedocument.drawingml.chart+xml"/>
  <Override PartName="/word/theme/themeOverride82.xml" ContentType="application/vnd.openxmlformats-officedocument.themeOverride+xml"/>
  <Override PartName="/word/charts/chart92.xml" ContentType="application/vnd.openxmlformats-officedocument.drawingml.chart+xml"/>
  <Override PartName="/word/theme/themeOverride83.xml" ContentType="application/vnd.openxmlformats-officedocument.themeOverride+xml"/>
  <Override PartName="/word/charts/chart93.xml" ContentType="application/vnd.openxmlformats-officedocument.drawingml.chart+xml"/>
  <Override PartName="/word/theme/themeOverride84.xml" ContentType="application/vnd.openxmlformats-officedocument.themeOverride+xml"/>
  <Override PartName="/word/charts/chart94.xml" ContentType="application/vnd.openxmlformats-officedocument.drawingml.chart+xml"/>
  <Override PartName="/word/theme/themeOverride85.xml" ContentType="application/vnd.openxmlformats-officedocument.themeOverride+xml"/>
  <Override PartName="/word/charts/chart95.xml" ContentType="application/vnd.openxmlformats-officedocument.drawingml.chart+xml"/>
  <Override PartName="/word/theme/themeOverride86.xml" ContentType="application/vnd.openxmlformats-officedocument.themeOverride+xml"/>
  <Override PartName="/word/charts/chart96.xml" ContentType="application/vnd.openxmlformats-officedocument.drawingml.chart+xml"/>
  <Override PartName="/word/theme/themeOverride87.xml" ContentType="application/vnd.openxmlformats-officedocument.themeOverride+xml"/>
  <Override PartName="/word/charts/chart97.xml" ContentType="application/vnd.openxmlformats-officedocument.drawingml.chart+xml"/>
  <Override PartName="/word/theme/themeOverride88.xml" ContentType="application/vnd.openxmlformats-officedocument.themeOverride+xml"/>
  <Override PartName="/word/charts/chart98.xml" ContentType="application/vnd.openxmlformats-officedocument.drawingml.chart+xml"/>
  <Override PartName="/word/charts/chart99.xml" ContentType="application/vnd.openxmlformats-officedocument.drawingml.chart+xml"/>
  <Override PartName="/word/theme/themeOverride89.xml" ContentType="application/vnd.openxmlformats-officedocument.themeOverride+xml"/>
  <Override PartName="/word/charts/chart100.xml" ContentType="application/vnd.openxmlformats-officedocument.drawingml.chart+xml"/>
  <Override PartName="/word/theme/themeOverride90.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507" w:rsidRDefault="00FD7247" w:rsidP="00217796">
      <w:pPr>
        <w:spacing w:after="60"/>
        <w:rPr>
          <w:rFonts w:ascii="Calibri" w:hAnsi="Calibri" w:cs="Calibri"/>
          <w:b/>
          <w:color w:val="4F81BD" w:themeColor="accent1"/>
          <w:sz w:val="24"/>
          <w:szCs w:val="24"/>
        </w:rPr>
      </w:pPr>
      <w:bookmarkStart w:id="0" w:name="_GoBack"/>
      <w:bookmarkEnd w:id="0"/>
      <w:r w:rsidRPr="00FD7247">
        <w:rPr>
          <w:rFonts w:ascii="Calibri" w:hAnsi="Calibri" w:cs="Calibri"/>
          <w:b/>
          <w:noProof/>
          <w:color w:val="4F81BD" w:themeColor="accent1"/>
          <w:sz w:val="24"/>
          <w:szCs w:val="24"/>
          <w:lang w:val="en-IE" w:eastAsia="en-IE"/>
        </w:rPr>
        <w:drawing>
          <wp:anchor distT="0" distB="0" distL="114300" distR="114300" simplePos="0" relativeHeight="251669504" behindDoc="1" locked="0" layoutInCell="1" allowOverlap="0">
            <wp:simplePos x="0" y="0"/>
            <wp:positionH relativeFrom="column">
              <wp:posOffset>6210300</wp:posOffset>
            </wp:positionH>
            <wp:positionV relativeFrom="paragraph">
              <wp:posOffset>-410845</wp:posOffset>
            </wp:positionV>
            <wp:extent cx="3086100" cy="914400"/>
            <wp:effectExtent l="19050" t="0" r="0" b="0"/>
            <wp:wrapTight wrapText="bothSides">
              <wp:wrapPolygon edited="0">
                <wp:start x="-133" y="0"/>
                <wp:lineTo x="-133" y="21150"/>
                <wp:lineTo x="21600" y="21150"/>
                <wp:lineTo x="21600" y="0"/>
                <wp:lineTo x="-133" y="0"/>
              </wp:wrapPolygon>
            </wp:wrapTight>
            <wp:docPr id="4" name="Picture 2" descr="DeptHSSPS-rgb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HSSPS-rgb_hr"/>
                    <pic:cNvPicPr>
                      <a:picLocks noChangeAspect="1" noChangeArrowheads="1"/>
                    </pic:cNvPicPr>
                  </pic:nvPicPr>
                  <pic:blipFill>
                    <a:blip r:embed="rId9" cstate="print"/>
                    <a:srcRect/>
                    <a:stretch>
                      <a:fillRect/>
                    </a:stretch>
                  </pic:blipFill>
                  <pic:spPr bwMode="auto">
                    <a:xfrm>
                      <a:off x="0" y="0"/>
                      <a:ext cx="3086100" cy="914400"/>
                    </a:xfrm>
                    <a:prstGeom prst="rect">
                      <a:avLst/>
                    </a:prstGeom>
                    <a:noFill/>
                    <a:ln w="9525">
                      <a:noFill/>
                      <a:miter lim="800000"/>
                      <a:headEnd/>
                      <a:tailEnd/>
                    </a:ln>
                  </pic:spPr>
                </pic:pic>
              </a:graphicData>
            </a:graphic>
          </wp:anchor>
        </w:drawing>
      </w:r>
    </w:p>
    <w:p w:rsidR="00272507" w:rsidRDefault="00272507">
      <w:pPr>
        <w:spacing w:after="200" w:line="276" w:lineRule="auto"/>
        <w:rPr>
          <w:rFonts w:ascii="Calibri" w:hAnsi="Calibri" w:cs="Calibri"/>
          <w:b/>
          <w:color w:val="4F81BD" w:themeColor="accent1"/>
          <w:sz w:val="24"/>
          <w:szCs w:val="24"/>
        </w:rPr>
      </w:pPr>
    </w:p>
    <w:p w:rsidR="00B03E8F" w:rsidRDefault="00B03E8F">
      <w:pPr>
        <w:spacing w:after="200" w:line="276" w:lineRule="auto"/>
        <w:rPr>
          <w:rFonts w:ascii="Calibri" w:hAnsi="Calibri" w:cs="Calibri"/>
          <w:b/>
          <w:color w:val="4F81BD" w:themeColor="accent1"/>
          <w:sz w:val="24"/>
          <w:szCs w:val="24"/>
        </w:rPr>
      </w:pPr>
    </w:p>
    <w:p w:rsidR="00272507" w:rsidRDefault="00272507">
      <w:pPr>
        <w:spacing w:after="200" w:line="276" w:lineRule="auto"/>
        <w:rPr>
          <w:rFonts w:ascii="Calibri" w:hAnsi="Calibri" w:cs="Calibri"/>
          <w:b/>
          <w:color w:val="4F81BD" w:themeColor="accent1"/>
          <w:sz w:val="24"/>
          <w:szCs w:val="24"/>
        </w:rPr>
      </w:pPr>
    </w:p>
    <w:p w:rsidR="00FD7247" w:rsidRDefault="00FD7247" w:rsidP="00FD7247">
      <w:pPr>
        <w:autoSpaceDE w:val="0"/>
        <w:autoSpaceDN w:val="0"/>
        <w:adjustRightInd w:val="0"/>
        <w:rPr>
          <w:rFonts w:ascii="Arial" w:eastAsiaTheme="minorHAnsi" w:hAnsi="Arial" w:cs="Arial"/>
          <w:b/>
          <w:bCs/>
          <w:color w:val="003D7D"/>
          <w:sz w:val="44"/>
          <w:szCs w:val="44"/>
        </w:rPr>
      </w:pPr>
      <w:r>
        <w:rPr>
          <w:rFonts w:ascii="Arial" w:eastAsiaTheme="minorHAnsi" w:hAnsi="Arial" w:cs="Arial"/>
          <w:b/>
          <w:bCs/>
          <w:color w:val="003D7D"/>
          <w:sz w:val="44"/>
          <w:szCs w:val="44"/>
        </w:rPr>
        <w:t>Health Survey Northern Ireland – 2012/13</w:t>
      </w:r>
    </w:p>
    <w:p w:rsidR="00FD7247" w:rsidRDefault="00FD7247" w:rsidP="00FD7247">
      <w:pPr>
        <w:autoSpaceDE w:val="0"/>
        <w:autoSpaceDN w:val="0"/>
        <w:adjustRightInd w:val="0"/>
        <w:rPr>
          <w:rFonts w:ascii="Arial" w:eastAsiaTheme="minorHAnsi" w:hAnsi="Arial" w:cs="Arial"/>
          <w:color w:val="003D7D"/>
          <w:sz w:val="22"/>
          <w:szCs w:val="22"/>
        </w:rPr>
      </w:pPr>
    </w:p>
    <w:p w:rsidR="00FD7247" w:rsidRDefault="00FD7247" w:rsidP="00FD7247">
      <w:pPr>
        <w:autoSpaceDE w:val="0"/>
        <w:autoSpaceDN w:val="0"/>
        <w:adjustRightInd w:val="0"/>
        <w:rPr>
          <w:rFonts w:ascii="Arial" w:eastAsiaTheme="minorHAnsi" w:hAnsi="Arial" w:cs="Arial"/>
          <w:color w:val="003D7D"/>
          <w:sz w:val="22"/>
          <w:szCs w:val="22"/>
        </w:rPr>
      </w:pPr>
    </w:p>
    <w:p w:rsidR="00FD7247" w:rsidRDefault="00FD7247" w:rsidP="00FD7247">
      <w:pPr>
        <w:autoSpaceDE w:val="0"/>
        <w:autoSpaceDN w:val="0"/>
        <w:adjustRightInd w:val="0"/>
        <w:rPr>
          <w:rFonts w:ascii="Arial" w:eastAsiaTheme="minorHAnsi" w:hAnsi="Arial" w:cs="Arial"/>
          <w:color w:val="003D7D"/>
          <w:sz w:val="22"/>
          <w:szCs w:val="22"/>
        </w:rPr>
      </w:pPr>
    </w:p>
    <w:p w:rsidR="00FD7247" w:rsidRDefault="00FD7247" w:rsidP="00FD7247">
      <w:pPr>
        <w:autoSpaceDE w:val="0"/>
        <w:autoSpaceDN w:val="0"/>
        <w:adjustRightInd w:val="0"/>
        <w:rPr>
          <w:rFonts w:ascii="Arial" w:eastAsiaTheme="minorHAnsi" w:hAnsi="Arial" w:cs="Arial"/>
          <w:color w:val="003D7D"/>
          <w:sz w:val="22"/>
          <w:szCs w:val="22"/>
        </w:rPr>
      </w:pPr>
    </w:p>
    <w:p w:rsidR="0023175B" w:rsidRDefault="0023175B" w:rsidP="00FD7247">
      <w:pPr>
        <w:autoSpaceDE w:val="0"/>
        <w:autoSpaceDN w:val="0"/>
        <w:adjustRightInd w:val="0"/>
        <w:rPr>
          <w:rFonts w:ascii="Arial" w:eastAsiaTheme="minorHAnsi" w:hAnsi="Arial" w:cs="Arial"/>
          <w:color w:val="003D7D"/>
          <w:sz w:val="22"/>
          <w:szCs w:val="22"/>
        </w:rPr>
      </w:pPr>
    </w:p>
    <w:p w:rsidR="00FD7247" w:rsidRDefault="00FD7247" w:rsidP="00FD7247">
      <w:pPr>
        <w:autoSpaceDE w:val="0"/>
        <w:autoSpaceDN w:val="0"/>
        <w:adjustRightInd w:val="0"/>
        <w:rPr>
          <w:rFonts w:ascii="Arial" w:eastAsiaTheme="minorHAnsi" w:hAnsi="Arial" w:cs="Arial"/>
          <w:color w:val="003D7D"/>
          <w:sz w:val="22"/>
          <w:szCs w:val="22"/>
        </w:rPr>
      </w:pPr>
    </w:p>
    <w:p w:rsidR="00FD7247" w:rsidRDefault="00FD7247" w:rsidP="00FD7247">
      <w:pPr>
        <w:autoSpaceDE w:val="0"/>
        <w:autoSpaceDN w:val="0"/>
        <w:adjustRightInd w:val="0"/>
        <w:rPr>
          <w:rFonts w:ascii="Arial" w:eastAsiaTheme="minorHAnsi" w:hAnsi="Arial" w:cs="Arial"/>
          <w:color w:val="003D7D"/>
          <w:sz w:val="22"/>
          <w:szCs w:val="22"/>
        </w:rPr>
      </w:pPr>
    </w:p>
    <w:p w:rsidR="00FD7247" w:rsidRPr="00FD7247" w:rsidRDefault="00FD7247" w:rsidP="00FD7247">
      <w:pPr>
        <w:autoSpaceDE w:val="0"/>
        <w:autoSpaceDN w:val="0"/>
        <w:adjustRightInd w:val="0"/>
        <w:textAlignment w:val="center"/>
        <w:rPr>
          <w:rFonts w:asciiTheme="minorHAnsi" w:hAnsiTheme="minorHAnsi" w:cstheme="minorHAnsi"/>
          <w:b/>
          <w:sz w:val="24"/>
          <w:szCs w:val="24"/>
        </w:rPr>
      </w:pPr>
      <w:r w:rsidRPr="00FD7247">
        <w:rPr>
          <w:rFonts w:asciiTheme="minorHAnsi" w:hAnsiTheme="minorHAnsi" w:cstheme="minorHAnsi"/>
          <w:b/>
          <w:sz w:val="24"/>
          <w:szCs w:val="24"/>
        </w:rPr>
        <w:t>Produced by:</w:t>
      </w:r>
    </w:p>
    <w:p w:rsidR="00FD7247" w:rsidRPr="00FD7247" w:rsidRDefault="00FD7247" w:rsidP="00FD7247">
      <w:pPr>
        <w:autoSpaceDE w:val="0"/>
        <w:autoSpaceDN w:val="0"/>
        <w:adjustRightInd w:val="0"/>
        <w:textAlignment w:val="center"/>
        <w:rPr>
          <w:rFonts w:asciiTheme="minorHAnsi" w:hAnsiTheme="minorHAnsi" w:cstheme="minorHAnsi"/>
          <w:b/>
          <w:i/>
        </w:rPr>
      </w:pPr>
      <w:r w:rsidRPr="00FD7247">
        <w:rPr>
          <w:rFonts w:asciiTheme="minorHAnsi" w:hAnsiTheme="minorHAnsi" w:cstheme="minorHAnsi"/>
          <w:b/>
          <w:i/>
        </w:rPr>
        <w:t>Public Health Information &amp; Research Branch</w:t>
      </w:r>
    </w:p>
    <w:p w:rsidR="00FD7247" w:rsidRPr="00FD7247" w:rsidRDefault="00FD7247" w:rsidP="00FD7247">
      <w:pPr>
        <w:autoSpaceDE w:val="0"/>
        <w:autoSpaceDN w:val="0"/>
        <w:adjustRightInd w:val="0"/>
        <w:textAlignment w:val="center"/>
        <w:rPr>
          <w:rFonts w:asciiTheme="minorHAnsi" w:hAnsiTheme="minorHAnsi" w:cstheme="minorHAnsi"/>
        </w:rPr>
      </w:pPr>
      <w:r w:rsidRPr="00FD7247">
        <w:rPr>
          <w:rFonts w:asciiTheme="minorHAnsi" w:hAnsiTheme="minorHAnsi" w:cstheme="minorHAnsi"/>
        </w:rPr>
        <w:t>DHSSPS</w:t>
      </w:r>
    </w:p>
    <w:p w:rsidR="00FD7247" w:rsidRPr="00FD7247" w:rsidRDefault="00FD7247" w:rsidP="00FD7247">
      <w:pPr>
        <w:autoSpaceDE w:val="0"/>
        <w:autoSpaceDN w:val="0"/>
        <w:adjustRightInd w:val="0"/>
        <w:textAlignment w:val="center"/>
        <w:rPr>
          <w:rFonts w:asciiTheme="minorHAnsi" w:hAnsiTheme="minorHAnsi" w:cstheme="minorHAnsi"/>
        </w:rPr>
      </w:pPr>
      <w:r w:rsidRPr="00FD7247">
        <w:rPr>
          <w:rFonts w:asciiTheme="minorHAnsi" w:hAnsiTheme="minorHAnsi" w:cstheme="minorHAnsi"/>
        </w:rPr>
        <w:t xml:space="preserve">Castle Buildings, </w:t>
      </w:r>
    </w:p>
    <w:p w:rsidR="00FD7247" w:rsidRPr="00FD7247" w:rsidRDefault="00FD7247" w:rsidP="00FD7247">
      <w:pPr>
        <w:autoSpaceDE w:val="0"/>
        <w:autoSpaceDN w:val="0"/>
        <w:adjustRightInd w:val="0"/>
        <w:textAlignment w:val="center"/>
        <w:rPr>
          <w:rFonts w:asciiTheme="minorHAnsi" w:hAnsiTheme="minorHAnsi" w:cstheme="minorHAnsi"/>
        </w:rPr>
      </w:pPr>
      <w:r w:rsidRPr="00FD7247">
        <w:rPr>
          <w:rFonts w:asciiTheme="minorHAnsi" w:hAnsiTheme="minorHAnsi" w:cstheme="minorHAnsi"/>
        </w:rPr>
        <w:t xml:space="preserve">Belfast, </w:t>
      </w:r>
    </w:p>
    <w:p w:rsidR="00FD7247" w:rsidRPr="00FD7247" w:rsidRDefault="00FD7247" w:rsidP="00FD7247">
      <w:pPr>
        <w:autoSpaceDE w:val="0"/>
        <w:autoSpaceDN w:val="0"/>
        <w:adjustRightInd w:val="0"/>
        <w:textAlignment w:val="center"/>
        <w:rPr>
          <w:rFonts w:asciiTheme="minorHAnsi" w:hAnsiTheme="minorHAnsi" w:cstheme="minorHAnsi"/>
        </w:rPr>
      </w:pPr>
      <w:r w:rsidRPr="00FD7247">
        <w:rPr>
          <w:rFonts w:asciiTheme="minorHAnsi" w:hAnsiTheme="minorHAnsi" w:cstheme="minorHAnsi"/>
        </w:rPr>
        <w:t>BT4 3SQ</w:t>
      </w:r>
    </w:p>
    <w:p w:rsidR="00FD7247" w:rsidRPr="00FD7247" w:rsidRDefault="00FD7247" w:rsidP="00FD7247">
      <w:pPr>
        <w:autoSpaceDE w:val="0"/>
        <w:autoSpaceDN w:val="0"/>
        <w:adjustRightInd w:val="0"/>
        <w:textAlignment w:val="center"/>
        <w:rPr>
          <w:rFonts w:asciiTheme="minorHAnsi" w:hAnsiTheme="minorHAnsi" w:cstheme="minorHAnsi"/>
          <w:b/>
          <w:color w:val="0000FF"/>
        </w:rPr>
      </w:pPr>
      <w:r w:rsidRPr="00FD7247">
        <w:rPr>
          <w:rFonts w:asciiTheme="minorHAnsi" w:hAnsiTheme="minorHAnsi" w:cstheme="minorHAnsi"/>
          <w:b/>
          <w:color w:val="0000FF"/>
        </w:rPr>
        <w:t>Email: phirb@dhsspsni.gov.uk</w:t>
      </w:r>
    </w:p>
    <w:p w:rsidR="00FD7247" w:rsidRPr="00FD7247" w:rsidRDefault="00FD7247" w:rsidP="006F13A2">
      <w:pPr>
        <w:spacing w:afterLines="100" w:after="240"/>
        <w:rPr>
          <w:rFonts w:asciiTheme="minorHAnsi" w:hAnsiTheme="minorHAnsi" w:cstheme="minorHAnsi"/>
          <w:b/>
          <w:color w:val="0000FF"/>
          <w:sz w:val="18"/>
          <w:szCs w:val="18"/>
        </w:rPr>
      </w:pPr>
      <w:r w:rsidRPr="00FD7247">
        <w:rPr>
          <w:rFonts w:asciiTheme="minorHAnsi" w:hAnsiTheme="minorHAnsi" w:cstheme="minorHAnsi"/>
          <w:b/>
          <w:color w:val="0000FF"/>
          <w:sz w:val="18"/>
          <w:szCs w:val="18"/>
        </w:rPr>
        <w:t>Telephone: 028 90522523</w:t>
      </w:r>
    </w:p>
    <w:p w:rsidR="00FD7247" w:rsidRDefault="00FD7247" w:rsidP="00FD7247">
      <w:pPr>
        <w:autoSpaceDE w:val="0"/>
        <w:autoSpaceDN w:val="0"/>
        <w:adjustRightInd w:val="0"/>
        <w:rPr>
          <w:rFonts w:ascii="Arial" w:eastAsiaTheme="minorHAnsi" w:hAnsi="Arial" w:cs="Arial"/>
          <w:color w:val="003D7D"/>
          <w:sz w:val="18"/>
          <w:szCs w:val="18"/>
        </w:rPr>
      </w:pP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For Information on other Government statistics contact:</w:t>
      </w: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The Northern Ireland Statistics and Research Agency (NISRA)</w:t>
      </w: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McAuley House, Belfast, BT1 1SA</w:t>
      </w: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Tel: 028 9034 8113</w:t>
      </w: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Email: info.nisra@dfpni.gov.uk</w:t>
      </w:r>
    </w:p>
    <w:p w:rsidR="00FD7247" w:rsidRPr="00FD7247" w:rsidRDefault="00FD7247" w:rsidP="00FD7247">
      <w:pPr>
        <w:autoSpaceDE w:val="0"/>
        <w:autoSpaceDN w:val="0"/>
        <w:adjustRightInd w:val="0"/>
        <w:rPr>
          <w:rFonts w:asciiTheme="minorHAnsi" w:eastAsiaTheme="minorHAnsi" w:hAnsiTheme="minorHAnsi" w:cstheme="minorHAnsi"/>
          <w:color w:val="003D7D"/>
          <w:sz w:val="18"/>
          <w:szCs w:val="18"/>
        </w:rPr>
      </w:pPr>
      <w:r w:rsidRPr="00FD7247">
        <w:rPr>
          <w:rFonts w:asciiTheme="minorHAnsi" w:eastAsiaTheme="minorHAnsi" w:hAnsiTheme="minorHAnsi" w:cstheme="minorHAnsi"/>
          <w:color w:val="003D7D"/>
          <w:sz w:val="18"/>
          <w:szCs w:val="18"/>
        </w:rPr>
        <w:t>www.nisra.gov.uk</w:t>
      </w:r>
    </w:p>
    <w:p w:rsidR="00272507" w:rsidRPr="00FD7247" w:rsidRDefault="00FD7247" w:rsidP="00FD7247">
      <w:pPr>
        <w:spacing w:after="200" w:line="276" w:lineRule="auto"/>
        <w:rPr>
          <w:rFonts w:asciiTheme="minorHAnsi" w:hAnsiTheme="minorHAnsi" w:cstheme="minorHAnsi"/>
          <w:b/>
          <w:color w:val="4F81BD" w:themeColor="accent1"/>
          <w:sz w:val="24"/>
          <w:szCs w:val="24"/>
        </w:rPr>
      </w:pPr>
      <w:r w:rsidRPr="00FD7247">
        <w:rPr>
          <w:rFonts w:asciiTheme="minorHAnsi" w:eastAsiaTheme="minorHAnsi" w:hAnsiTheme="minorHAnsi" w:cstheme="minorHAnsi"/>
          <w:color w:val="003D7D"/>
          <w:sz w:val="18"/>
          <w:szCs w:val="18"/>
        </w:rPr>
        <w:t>© Crown Copyright 2014. Published with the permission of the Controller of Her Majesty’s Stationery Office.</w:t>
      </w:r>
    </w:p>
    <w:p w:rsidR="00F64A2C" w:rsidRDefault="00FD7247" w:rsidP="00C677FA">
      <w:pPr>
        <w:spacing w:after="200" w:line="276" w:lineRule="auto"/>
        <w:rPr>
          <w:rFonts w:ascii="Calibri" w:hAnsi="Calibri" w:cs="Calibri"/>
          <w:b/>
          <w:color w:val="4F81BD" w:themeColor="accent1"/>
          <w:sz w:val="24"/>
          <w:szCs w:val="24"/>
        </w:rPr>
        <w:sectPr w:rsidR="00F64A2C" w:rsidSect="008A2983">
          <w:footerReference w:type="default" r:id="rId10"/>
          <w:pgSz w:w="16838" w:h="11906" w:orient="landscape"/>
          <w:pgMar w:top="737" w:right="1440" w:bottom="737" w:left="1440" w:header="709" w:footer="709" w:gutter="0"/>
          <w:pgNumType w:fmt="lowerRoman" w:start="1"/>
          <w:cols w:space="454"/>
          <w:titlePg/>
          <w:docGrid w:linePitch="360"/>
        </w:sectPr>
      </w:pPr>
      <w:r w:rsidRPr="00FD7247">
        <w:rPr>
          <w:rFonts w:ascii="Calibri" w:hAnsi="Calibri" w:cs="Calibri"/>
          <w:b/>
          <w:noProof/>
          <w:color w:val="4F81BD" w:themeColor="accent1"/>
          <w:sz w:val="24"/>
          <w:szCs w:val="24"/>
          <w:lang w:val="en-IE" w:eastAsia="en-IE"/>
        </w:rPr>
        <w:drawing>
          <wp:inline distT="0" distB="0" distL="0" distR="0">
            <wp:extent cx="2426018" cy="960120"/>
            <wp:effectExtent l="19050" t="0" r="0" b="0"/>
            <wp:docPr id="13" name="Picture 1" descr="U:\Information Analysis Directorate\DAIRU\Admin\Logos\NISR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Information Analysis Directorate\DAIRU\Admin\Logos\NISRAlogo.gif"/>
                    <pic:cNvPicPr>
                      <a:picLocks noChangeAspect="1" noChangeArrowheads="1"/>
                    </pic:cNvPicPr>
                  </pic:nvPicPr>
                  <pic:blipFill>
                    <a:blip r:embed="rId11" cstate="print"/>
                    <a:srcRect/>
                    <a:stretch>
                      <a:fillRect/>
                    </a:stretch>
                  </pic:blipFill>
                  <pic:spPr bwMode="auto">
                    <a:xfrm>
                      <a:off x="0" y="0"/>
                      <a:ext cx="2426018" cy="960120"/>
                    </a:xfrm>
                    <a:prstGeom prst="rect">
                      <a:avLst/>
                    </a:prstGeom>
                    <a:noFill/>
                  </pic:spPr>
                </pic:pic>
              </a:graphicData>
            </a:graphic>
          </wp:inline>
        </w:drawing>
      </w:r>
    </w:p>
    <w:p w:rsidR="00E10F38" w:rsidRDefault="00E10F38" w:rsidP="00390551">
      <w:pPr>
        <w:spacing w:after="120" w:line="276" w:lineRule="auto"/>
        <w:rPr>
          <w:rFonts w:ascii="Calibri" w:hAnsi="Calibri" w:cs="Calibri"/>
          <w:b/>
          <w:color w:val="4F81BD" w:themeColor="accent1"/>
          <w:sz w:val="24"/>
          <w:szCs w:val="24"/>
        </w:rPr>
      </w:pPr>
      <w:r>
        <w:rPr>
          <w:rFonts w:ascii="Calibri" w:hAnsi="Calibri" w:cs="Calibri"/>
          <w:b/>
          <w:color w:val="4F81BD" w:themeColor="accent1"/>
          <w:sz w:val="24"/>
          <w:szCs w:val="24"/>
        </w:rPr>
        <w:lastRenderedPageBreak/>
        <w:t>Contents</w:t>
      </w:r>
    </w:p>
    <w:tbl>
      <w:tblPr>
        <w:tblStyle w:val="TableGrid"/>
        <w:tblW w:w="14277" w:type="dxa"/>
        <w:tblLook w:val="04A0" w:firstRow="1" w:lastRow="0" w:firstColumn="1" w:lastColumn="0" w:noHBand="0" w:noVBand="1"/>
      </w:tblPr>
      <w:tblGrid>
        <w:gridCol w:w="11906"/>
        <w:gridCol w:w="1513"/>
        <w:gridCol w:w="858"/>
      </w:tblGrid>
      <w:tr w:rsidR="00405A80" w:rsidRPr="00364AA3" w:rsidTr="00405A80">
        <w:trPr>
          <w:trHeight w:val="345"/>
        </w:trPr>
        <w:tc>
          <w:tcPr>
            <w:tcW w:w="11906" w:type="dxa"/>
            <w:tcBorders>
              <w:top w:val="thinThickSmallGap" w:sz="12" w:space="0" w:color="auto"/>
              <w:left w:val="nil"/>
              <w:bottom w:val="thinThickThinSmallGap" w:sz="12" w:space="0" w:color="auto"/>
              <w:right w:val="nil"/>
            </w:tcBorders>
          </w:tcPr>
          <w:p w:rsidR="00E10F38" w:rsidRPr="00364AA3" w:rsidRDefault="00E10F38" w:rsidP="00217796">
            <w:pPr>
              <w:spacing w:after="60"/>
              <w:rPr>
                <w:rFonts w:ascii="Calibri" w:hAnsi="Calibri" w:cs="Calibri"/>
                <w:b/>
                <w:color w:val="4F81BD" w:themeColor="accent1"/>
                <w:sz w:val="24"/>
                <w:szCs w:val="24"/>
              </w:rPr>
            </w:pPr>
            <w:r w:rsidRPr="00364AA3">
              <w:rPr>
                <w:rFonts w:ascii="Calibri" w:hAnsi="Calibri" w:cs="Calibri"/>
                <w:b/>
                <w:color w:val="4F81BD" w:themeColor="accent1"/>
                <w:sz w:val="24"/>
                <w:szCs w:val="24"/>
              </w:rPr>
              <w:t>Subject Area</w:t>
            </w:r>
          </w:p>
        </w:tc>
        <w:tc>
          <w:tcPr>
            <w:tcW w:w="1513" w:type="dxa"/>
            <w:tcBorders>
              <w:top w:val="thinThickSmallGap" w:sz="12" w:space="0" w:color="auto"/>
              <w:left w:val="nil"/>
              <w:bottom w:val="thinThickThinSmallGap" w:sz="12" w:space="0" w:color="auto"/>
              <w:right w:val="nil"/>
            </w:tcBorders>
          </w:tcPr>
          <w:p w:rsidR="00E10F38" w:rsidRPr="00364AA3" w:rsidRDefault="00E10F38" w:rsidP="00405A80">
            <w:pPr>
              <w:spacing w:after="60"/>
              <w:jc w:val="center"/>
              <w:rPr>
                <w:rFonts w:ascii="Calibri" w:hAnsi="Calibri" w:cs="Calibri"/>
                <w:b/>
                <w:color w:val="4F81BD" w:themeColor="accent1"/>
                <w:sz w:val="24"/>
                <w:szCs w:val="24"/>
              </w:rPr>
            </w:pPr>
            <w:r w:rsidRPr="00364AA3">
              <w:rPr>
                <w:rFonts w:ascii="Calibri" w:hAnsi="Calibri" w:cs="Calibri"/>
                <w:b/>
                <w:color w:val="4F81BD" w:themeColor="accent1"/>
                <w:sz w:val="24"/>
                <w:szCs w:val="24"/>
              </w:rPr>
              <w:t>Commentary</w:t>
            </w:r>
          </w:p>
        </w:tc>
        <w:tc>
          <w:tcPr>
            <w:tcW w:w="858" w:type="dxa"/>
            <w:tcBorders>
              <w:top w:val="thinThickSmallGap" w:sz="12" w:space="0" w:color="auto"/>
              <w:left w:val="nil"/>
              <w:bottom w:val="thinThickThinSmallGap" w:sz="12" w:space="0" w:color="auto"/>
              <w:right w:val="nil"/>
            </w:tcBorders>
          </w:tcPr>
          <w:p w:rsidR="00E10F38" w:rsidRPr="00364AA3" w:rsidRDefault="00E10F38" w:rsidP="00405A80">
            <w:pPr>
              <w:spacing w:after="60"/>
              <w:jc w:val="center"/>
              <w:rPr>
                <w:rFonts w:ascii="Calibri" w:hAnsi="Calibri" w:cs="Calibri"/>
                <w:b/>
                <w:color w:val="4F81BD" w:themeColor="accent1"/>
                <w:sz w:val="24"/>
                <w:szCs w:val="24"/>
              </w:rPr>
            </w:pPr>
            <w:r w:rsidRPr="00364AA3">
              <w:rPr>
                <w:rFonts w:ascii="Calibri" w:hAnsi="Calibri" w:cs="Calibri"/>
                <w:b/>
                <w:color w:val="4F81BD" w:themeColor="accent1"/>
                <w:sz w:val="24"/>
                <w:szCs w:val="24"/>
              </w:rPr>
              <w:t>Tables</w:t>
            </w:r>
          </w:p>
        </w:tc>
      </w:tr>
      <w:tr w:rsidR="00405A80" w:rsidTr="00405A80">
        <w:trPr>
          <w:trHeight w:val="283"/>
        </w:trPr>
        <w:tc>
          <w:tcPr>
            <w:tcW w:w="11906" w:type="dxa"/>
            <w:tcBorders>
              <w:top w:val="thinThickThinSmallGap" w:sz="12" w:space="0" w:color="auto"/>
              <w:left w:val="nil"/>
              <w:right w:val="nil"/>
            </w:tcBorders>
            <w:vAlign w:val="center"/>
          </w:tcPr>
          <w:p w:rsidR="006415E0" w:rsidRPr="00CD08E3" w:rsidRDefault="006415E0" w:rsidP="00CD08E3">
            <w:pPr>
              <w:spacing w:after="60"/>
              <w:jc w:val="left"/>
              <w:rPr>
                <w:rFonts w:ascii="Calibri" w:hAnsi="Calibri" w:cs="Calibri"/>
                <w:b/>
                <w:sz w:val="22"/>
                <w:szCs w:val="22"/>
              </w:rPr>
            </w:pPr>
            <w:r w:rsidRPr="00CD08E3">
              <w:rPr>
                <w:rFonts w:ascii="Calibri" w:hAnsi="Calibri" w:cs="Calibri"/>
                <w:b/>
                <w:sz w:val="22"/>
                <w:szCs w:val="22"/>
              </w:rPr>
              <w:t>General health</w:t>
            </w:r>
          </w:p>
          <w:p w:rsidR="00CD08E3" w:rsidRPr="00637F1F" w:rsidRDefault="00CD08E3" w:rsidP="00665229">
            <w:pPr>
              <w:spacing w:after="60"/>
              <w:ind w:left="170"/>
              <w:jc w:val="left"/>
              <w:rPr>
                <w:rFonts w:ascii="Calibri" w:hAnsi="Calibri" w:cs="Calibri"/>
              </w:rPr>
            </w:pPr>
            <w:r w:rsidRPr="00637F1F">
              <w:rPr>
                <w:rFonts w:ascii="Calibri" w:hAnsi="Calibri" w:cs="Calibri"/>
              </w:rPr>
              <w:t>(including health in general, health over the last twelve months, health compared with twelve months ago, satisfaction with life, blood pressure and carers)</w:t>
            </w:r>
          </w:p>
        </w:tc>
        <w:tc>
          <w:tcPr>
            <w:tcW w:w="1513" w:type="dxa"/>
            <w:tcBorders>
              <w:top w:val="thinThickThinSmallGap" w:sz="12" w:space="0" w:color="auto"/>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_Ref382555503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1</w:t>
            </w:r>
            <w:r w:rsidRPr="00CD08E3">
              <w:rPr>
                <w:rFonts w:ascii="Calibri" w:hAnsi="Calibri" w:cs="Calibri"/>
                <w:b/>
                <w:color w:val="4F81BD" w:themeColor="accent1"/>
                <w:sz w:val="24"/>
                <w:szCs w:val="24"/>
              </w:rPr>
              <w:fldChar w:fldCharType="end"/>
            </w:r>
          </w:p>
        </w:tc>
        <w:tc>
          <w:tcPr>
            <w:tcW w:w="858" w:type="dxa"/>
            <w:tcBorders>
              <w:top w:val="thinThickThinSmallGap" w:sz="12" w:space="0" w:color="auto"/>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_Ref381946617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56</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E10F38" w:rsidRPr="00CD08E3" w:rsidRDefault="006415E0" w:rsidP="00CD08E3">
            <w:pPr>
              <w:spacing w:after="60"/>
              <w:jc w:val="left"/>
              <w:rPr>
                <w:rFonts w:ascii="Calibri" w:hAnsi="Calibri" w:cs="Calibri"/>
                <w:b/>
                <w:sz w:val="22"/>
                <w:szCs w:val="22"/>
              </w:rPr>
            </w:pPr>
            <w:r w:rsidRPr="00CD08E3">
              <w:rPr>
                <w:rFonts w:ascii="Calibri" w:hAnsi="Calibri" w:cs="Calibri"/>
                <w:b/>
                <w:sz w:val="22"/>
                <w:szCs w:val="22"/>
              </w:rPr>
              <w:t>Medical conditions</w:t>
            </w:r>
            <w:r w:rsidR="00CC1B1D" w:rsidRPr="00CD08E3">
              <w:rPr>
                <w:rFonts w:ascii="Calibri" w:hAnsi="Calibri" w:cs="Calibri"/>
                <w:b/>
                <w:sz w:val="22"/>
                <w:szCs w:val="22"/>
              </w:rPr>
              <w:t xml:space="preserve">  &amp; </w:t>
            </w:r>
            <w:r w:rsidR="0062310C">
              <w:rPr>
                <w:rFonts w:ascii="Calibri" w:hAnsi="Calibri" w:cs="Calibri"/>
                <w:b/>
                <w:sz w:val="22"/>
                <w:szCs w:val="22"/>
              </w:rPr>
              <w:t>i</w:t>
            </w:r>
            <w:r w:rsidR="00CC1B1D" w:rsidRPr="00CD08E3">
              <w:rPr>
                <w:rFonts w:ascii="Calibri" w:hAnsi="Calibri" w:cs="Calibri"/>
                <w:b/>
                <w:sz w:val="22"/>
                <w:szCs w:val="22"/>
              </w:rPr>
              <w:t>llnesses</w:t>
            </w:r>
          </w:p>
          <w:p w:rsidR="00CD08E3" w:rsidRPr="00637F1F" w:rsidRDefault="00CD08E3" w:rsidP="00665229">
            <w:pPr>
              <w:spacing w:after="60"/>
              <w:ind w:left="170"/>
              <w:jc w:val="left"/>
              <w:rPr>
                <w:rFonts w:ascii="Calibri" w:hAnsi="Calibri" w:cs="Calibri"/>
              </w:rPr>
            </w:pPr>
            <w:r w:rsidRPr="00637F1F">
              <w:rPr>
                <w:rFonts w:ascii="Calibri" w:hAnsi="Calibri" w:cs="Calibri"/>
              </w:rPr>
              <w:t>(including medical conditions, longstanding illnesses and self-assessed health state)</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_Ref382555516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7</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_Ref381946625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60</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E10F38" w:rsidRPr="0062310C" w:rsidRDefault="00CC1B1D" w:rsidP="00CD08E3">
            <w:pPr>
              <w:spacing w:after="60"/>
              <w:jc w:val="left"/>
              <w:rPr>
                <w:rFonts w:ascii="Calibri" w:hAnsi="Calibri" w:cs="Calibri"/>
                <w:b/>
                <w:sz w:val="22"/>
                <w:szCs w:val="22"/>
              </w:rPr>
            </w:pPr>
            <w:r w:rsidRPr="0062310C">
              <w:rPr>
                <w:rFonts w:ascii="Calibri" w:hAnsi="Calibri" w:cs="Calibri"/>
                <w:b/>
                <w:sz w:val="22"/>
                <w:szCs w:val="22"/>
              </w:rPr>
              <w:t>Hospital visits</w:t>
            </w:r>
          </w:p>
          <w:p w:rsidR="0062310C" w:rsidRPr="00637F1F" w:rsidRDefault="0062310C" w:rsidP="00665229">
            <w:pPr>
              <w:spacing w:after="60"/>
              <w:ind w:left="170"/>
              <w:jc w:val="left"/>
              <w:rPr>
                <w:rFonts w:ascii="Calibri" w:hAnsi="Calibri" w:cs="Calibri"/>
              </w:rPr>
            </w:pPr>
            <w:r w:rsidRPr="00637F1F">
              <w:rPr>
                <w:rFonts w:ascii="Calibri" w:hAnsi="Calibri" w:cs="Calibri"/>
              </w:rPr>
              <w:t xml:space="preserve"> (including inpatients, outpatients and accident &amp; emergency)</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_Ref382555527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14</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_Ref381946763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65</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E10F38" w:rsidRDefault="00CC1B1D" w:rsidP="00CD08E3">
            <w:pPr>
              <w:spacing w:after="60"/>
              <w:jc w:val="left"/>
              <w:rPr>
                <w:rFonts w:ascii="Calibri" w:hAnsi="Calibri" w:cs="Calibri"/>
                <w:b/>
                <w:sz w:val="22"/>
                <w:szCs w:val="22"/>
              </w:rPr>
            </w:pPr>
            <w:r w:rsidRPr="0062310C">
              <w:rPr>
                <w:rFonts w:ascii="Calibri" w:hAnsi="Calibri" w:cs="Calibri"/>
                <w:b/>
                <w:sz w:val="22"/>
                <w:szCs w:val="22"/>
              </w:rPr>
              <w:t>General Practitioner services /  Prescribed medicines / Community pharmacies</w:t>
            </w:r>
          </w:p>
          <w:p w:rsidR="0062310C" w:rsidRPr="00637F1F" w:rsidRDefault="001668DD" w:rsidP="001668DD">
            <w:pPr>
              <w:spacing w:after="60"/>
              <w:ind w:left="170"/>
              <w:jc w:val="left"/>
              <w:rPr>
                <w:rFonts w:ascii="Calibri" w:hAnsi="Calibri" w:cs="Calibri"/>
              </w:rPr>
            </w:pPr>
            <w:r w:rsidRPr="00637F1F">
              <w:rPr>
                <w:rFonts w:ascii="Calibri" w:hAnsi="Calibri" w:cs="Calibri"/>
              </w:rPr>
              <w:t>(including General Practitioner services, out-of-hours, prescribed medicines and community pharmacies)</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_Ref382555541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20</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_Ref381946781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74</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E10F38" w:rsidRPr="0062310C" w:rsidRDefault="00CC1B1D" w:rsidP="00CD08E3">
            <w:pPr>
              <w:spacing w:after="60"/>
              <w:jc w:val="left"/>
              <w:rPr>
                <w:rFonts w:ascii="Calibri" w:hAnsi="Calibri" w:cs="Calibri"/>
                <w:b/>
                <w:sz w:val="22"/>
                <w:szCs w:val="22"/>
              </w:rPr>
            </w:pPr>
            <w:r w:rsidRPr="0062310C">
              <w:rPr>
                <w:rFonts w:ascii="Calibri" w:hAnsi="Calibri" w:cs="Calibri"/>
                <w:b/>
                <w:sz w:val="22"/>
                <w:szCs w:val="22"/>
              </w:rPr>
              <w:t>Healthy lifestyles</w:t>
            </w:r>
          </w:p>
          <w:p w:rsidR="0062310C" w:rsidRPr="00637F1F" w:rsidRDefault="0062310C" w:rsidP="00665229">
            <w:pPr>
              <w:spacing w:after="60"/>
              <w:ind w:left="170"/>
              <w:jc w:val="left"/>
              <w:rPr>
                <w:rFonts w:ascii="Calibri" w:hAnsi="Calibri" w:cs="Calibri"/>
              </w:rPr>
            </w:pPr>
            <w:r w:rsidRPr="00637F1F">
              <w:rPr>
                <w:rFonts w:ascii="Calibri" w:hAnsi="Calibri" w:cs="Calibri"/>
              </w:rPr>
              <w:t>(including smoking, alcohol, adult obesity, physical activity and sedentary behaviour)</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_Ref382555555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24</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_Ref382559144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83</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6415E0" w:rsidRPr="0062310C" w:rsidRDefault="00CC1B1D" w:rsidP="00CD08E3">
            <w:pPr>
              <w:spacing w:after="60"/>
              <w:jc w:val="left"/>
              <w:rPr>
                <w:rFonts w:ascii="Calibri" w:hAnsi="Calibri" w:cs="Calibri"/>
                <w:b/>
                <w:sz w:val="22"/>
                <w:szCs w:val="22"/>
              </w:rPr>
            </w:pPr>
            <w:r w:rsidRPr="0062310C">
              <w:rPr>
                <w:rFonts w:ascii="Calibri" w:hAnsi="Calibri" w:cs="Calibri"/>
                <w:b/>
                <w:sz w:val="22"/>
                <w:szCs w:val="22"/>
              </w:rPr>
              <w:t>Child health</w:t>
            </w:r>
          </w:p>
          <w:p w:rsidR="0062310C" w:rsidRPr="00637F1F" w:rsidRDefault="0062310C" w:rsidP="00665229">
            <w:pPr>
              <w:spacing w:after="60"/>
              <w:ind w:left="170"/>
              <w:jc w:val="left"/>
              <w:rPr>
                <w:rFonts w:ascii="Calibri" w:hAnsi="Calibri" w:cs="Calibri"/>
              </w:rPr>
            </w:pPr>
            <w:r w:rsidRPr="00637F1F">
              <w:rPr>
                <w:rFonts w:ascii="Calibri" w:hAnsi="Calibri" w:cs="Calibri"/>
              </w:rPr>
              <w:t>(including child health</w:t>
            </w:r>
            <w:r w:rsidR="00391573" w:rsidRPr="00637F1F">
              <w:rPr>
                <w:rFonts w:ascii="Calibri" w:hAnsi="Calibri" w:cs="Calibri"/>
              </w:rPr>
              <w:t xml:space="preserve"> in general, longstanding illness</w:t>
            </w:r>
            <w:r w:rsidRPr="00637F1F">
              <w:rPr>
                <w:rFonts w:ascii="Calibri" w:hAnsi="Calibri" w:cs="Calibri"/>
              </w:rPr>
              <w:t xml:space="preserve"> and child obesity)</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_Ref382555572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35</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_Ref381946709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93</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E10F38" w:rsidRDefault="00CC1B1D" w:rsidP="00CD08E3">
            <w:pPr>
              <w:spacing w:after="60"/>
              <w:jc w:val="left"/>
              <w:rPr>
                <w:rFonts w:ascii="Calibri" w:hAnsi="Calibri" w:cs="Calibri"/>
                <w:b/>
                <w:sz w:val="22"/>
                <w:szCs w:val="22"/>
              </w:rPr>
            </w:pPr>
            <w:r w:rsidRPr="00391573">
              <w:rPr>
                <w:rFonts w:ascii="Calibri" w:hAnsi="Calibri" w:cs="Calibri"/>
                <w:b/>
                <w:sz w:val="22"/>
                <w:szCs w:val="22"/>
              </w:rPr>
              <w:t>Breastfeeding</w:t>
            </w:r>
          </w:p>
          <w:p w:rsidR="00391573" w:rsidRPr="00637F1F" w:rsidRDefault="00391573" w:rsidP="00665229">
            <w:pPr>
              <w:spacing w:after="60"/>
              <w:ind w:left="170"/>
              <w:jc w:val="left"/>
              <w:rPr>
                <w:rFonts w:asciiTheme="minorHAnsi" w:hAnsiTheme="minorHAnsi" w:cstheme="minorHAnsi"/>
              </w:rPr>
            </w:pPr>
            <w:r w:rsidRPr="00637F1F">
              <w:rPr>
                <w:rFonts w:asciiTheme="minorHAnsi" w:hAnsiTheme="minorHAnsi" w:cstheme="minorHAnsi"/>
              </w:rPr>
              <w:t xml:space="preserve">(including </w:t>
            </w:r>
            <w:r w:rsidR="00665229" w:rsidRPr="00637F1F">
              <w:rPr>
                <w:rFonts w:asciiTheme="minorHAnsi" w:hAnsiTheme="minorHAnsi" w:cstheme="minorHAnsi"/>
              </w:rPr>
              <w:t>opinion on s</w:t>
            </w:r>
            <w:r w:rsidRPr="00637F1F">
              <w:rPr>
                <w:rFonts w:asciiTheme="minorHAnsi" w:hAnsiTheme="minorHAnsi" w:cstheme="minorHAnsi"/>
              </w:rPr>
              <w:t>tatements on breastfeeding providing protection from diseases</w:t>
            </w:r>
            <w:r w:rsidR="00665229" w:rsidRPr="00637F1F">
              <w:rPr>
                <w:rFonts w:asciiTheme="minorHAnsi" w:hAnsiTheme="minorHAnsi" w:cstheme="minorHAnsi"/>
              </w:rPr>
              <w:t>,</w:t>
            </w:r>
            <w:r w:rsidRPr="00637F1F">
              <w:rPr>
                <w:rFonts w:asciiTheme="minorHAnsi" w:hAnsiTheme="minorHAnsi" w:cstheme="minorHAnsi"/>
              </w:rPr>
              <w:t xml:space="preserve"> </w:t>
            </w:r>
            <w:r w:rsidR="00665229" w:rsidRPr="00637F1F">
              <w:rPr>
                <w:rFonts w:asciiTheme="minorHAnsi" w:hAnsiTheme="minorHAnsi" w:cstheme="minorHAnsi"/>
              </w:rPr>
              <w:t>o</w:t>
            </w:r>
            <w:r w:rsidRPr="00637F1F">
              <w:rPr>
                <w:rFonts w:asciiTheme="minorHAnsi" w:hAnsiTheme="minorHAnsi" w:cstheme="minorHAnsi"/>
              </w:rPr>
              <w:t>pinion on breastfeeding</w:t>
            </w:r>
            <w:r w:rsidR="00665229" w:rsidRPr="00637F1F">
              <w:rPr>
                <w:rFonts w:asciiTheme="minorHAnsi" w:hAnsiTheme="minorHAnsi" w:cstheme="minorHAnsi"/>
              </w:rPr>
              <w:t>,</w:t>
            </w:r>
            <w:r w:rsidRPr="00637F1F">
              <w:rPr>
                <w:rFonts w:asciiTheme="minorHAnsi" w:hAnsiTheme="minorHAnsi" w:cstheme="minorHAnsi"/>
              </w:rPr>
              <w:t xml:space="preserve"> </w:t>
            </w:r>
            <w:r w:rsidR="00665229" w:rsidRPr="00637F1F">
              <w:rPr>
                <w:rFonts w:asciiTheme="minorHAnsi" w:hAnsiTheme="minorHAnsi" w:cstheme="minorHAnsi"/>
              </w:rPr>
              <w:t>p</w:t>
            </w:r>
            <w:r w:rsidRPr="00637F1F">
              <w:rPr>
                <w:rFonts w:asciiTheme="minorHAnsi" w:hAnsiTheme="minorHAnsi" w:cstheme="minorHAnsi"/>
              </w:rPr>
              <w:t>roportion of mothers who breastfed their babies</w:t>
            </w:r>
            <w:r w:rsidR="00665229" w:rsidRPr="00637F1F">
              <w:rPr>
                <w:rFonts w:asciiTheme="minorHAnsi" w:hAnsiTheme="minorHAnsi" w:cstheme="minorHAnsi"/>
              </w:rPr>
              <w:t xml:space="preserve"> and opinion on formula vs breast milk)</w:t>
            </w:r>
          </w:p>
        </w:tc>
        <w:tc>
          <w:tcPr>
            <w:tcW w:w="1513" w:type="dxa"/>
            <w:tcBorders>
              <w:left w:val="nil"/>
              <w:right w:val="nil"/>
            </w:tcBorders>
          </w:tcPr>
          <w:p w:rsidR="00E10F38"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_Ref382555583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38</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E10F38"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_Ref381946736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94</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6415E0" w:rsidRPr="00665229" w:rsidRDefault="00CC1B1D" w:rsidP="00CD08E3">
            <w:pPr>
              <w:spacing w:after="60"/>
              <w:jc w:val="left"/>
              <w:rPr>
                <w:rFonts w:ascii="Calibri" w:hAnsi="Calibri" w:cs="Calibri"/>
                <w:b/>
                <w:sz w:val="22"/>
                <w:szCs w:val="22"/>
              </w:rPr>
            </w:pPr>
            <w:r w:rsidRPr="00665229">
              <w:rPr>
                <w:rFonts w:ascii="Calibri" w:hAnsi="Calibri" w:cs="Calibri"/>
                <w:b/>
                <w:sz w:val="22"/>
                <w:szCs w:val="22"/>
              </w:rPr>
              <w:t>Skin cancer prevention</w:t>
            </w:r>
          </w:p>
          <w:p w:rsidR="00665229" w:rsidRPr="00637F1F" w:rsidRDefault="00665229" w:rsidP="00665229">
            <w:pPr>
              <w:spacing w:after="60"/>
              <w:ind w:left="170"/>
              <w:jc w:val="left"/>
              <w:rPr>
                <w:rFonts w:ascii="Calibri" w:hAnsi="Calibri" w:cs="Calibri"/>
              </w:rPr>
            </w:pPr>
            <w:r w:rsidRPr="00637F1F">
              <w:rPr>
                <w:rFonts w:ascii="Calibri" w:hAnsi="Calibri" w:cs="Calibri"/>
              </w:rPr>
              <w:t>(including sun protection measures taken, use of sunscreen and sunbeds)</w:t>
            </w:r>
          </w:p>
        </w:tc>
        <w:tc>
          <w:tcPr>
            <w:tcW w:w="1513" w:type="dxa"/>
            <w:tcBorders>
              <w:left w:val="nil"/>
              <w:right w:val="nil"/>
            </w:tcBorders>
          </w:tcPr>
          <w:p w:rsidR="006415E0"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_Ref382555597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42</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6415E0"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_Ref381946747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98</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right w:val="nil"/>
            </w:tcBorders>
            <w:vAlign w:val="center"/>
          </w:tcPr>
          <w:p w:rsidR="006415E0" w:rsidRPr="00665229" w:rsidRDefault="00CC1B1D" w:rsidP="00CD08E3">
            <w:pPr>
              <w:spacing w:after="60"/>
              <w:jc w:val="left"/>
              <w:rPr>
                <w:rFonts w:ascii="Calibri" w:hAnsi="Calibri" w:cs="Calibri"/>
                <w:b/>
                <w:sz w:val="22"/>
                <w:szCs w:val="22"/>
              </w:rPr>
            </w:pPr>
            <w:r w:rsidRPr="00665229">
              <w:rPr>
                <w:rFonts w:ascii="Calibri" w:hAnsi="Calibri" w:cs="Calibri"/>
                <w:b/>
                <w:sz w:val="22"/>
                <w:szCs w:val="22"/>
              </w:rPr>
              <w:t>Sexual Health</w:t>
            </w:r>
          </w:p>
          <w:p w:rsidR="00665229" w:rsidRPr="00637F1F" w:rsidRDefault="00665229" w:rsidP="00665229">
            <w:pPr>
              <w:spacing w:after="60"/>
              <w:ind w:left="170"/>
              <w:jc w:val="left"/>
              <w:rPr>
                <w:rFonts w:ascii="Calibri" w:hAnsi="Calibri" w:cs="Calibri"/>
              </w:rPr>
            </w:pPr>
            <w:r w:rsidRPr="00637F1F">
              <w:rPr>
                <w:rFonts w:ascii="Calibri" w:hAnsi="Calibri" w:cs="Calibri"/>
              </w:rPr>
              <w:t xml:space="preserve">(including </w:t>
            </w:r>
            <w:r w:rsidR="001668DD" w:rsidRPr="00637F1F">
              <w:rPr>
                <w:rFonts w:ascii="Calibri" w:hAnsi="Calibri" w:cs="Calibri"/>
              </w:rPr>
              <w:t>knowledge of sexually transmitted infections (STIs), use of condoms and perceived risk of getting an STI)</w:t>
            </w:r>
          </w:p>
        </w:tc>
        <w:tc>
          <w:tcPr>
            <w:tcW w:w="1513" w:type="dxa"/>
            <w:tcBorders>
              <w:left w:val="nil"/>
              <w:right w:val="nil"/>
            </w:tcBorders>
          </w:tcPr>
          <w:p w:rsidR="006415E0"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_Ref382555608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47</w:t>
            </w:r>
            <w:r w:rsidRPr="00CD08E3">
              <w:rPr>
                <w:rFonts w:ascii="Calibri" w:hAnsi="Calibri" w:cs="Calibri"/>
                <w:b/>
                <w:color w:val="4F81BD" w:themeColor="accent1"/>
                <w:sz w:val="24"/>
                <w:szCs w:val="24"/>
              </w:rPr>
              <w:fldChar w:fldCharType="end"/>
            </w:r>
          </w:p>
        </w:tc>
        <w:tc>
          <w:tcPr>
            <w:tcW w:w="858" w:type="dxa"/>
            <w:tcBorders>
              <w:left w:val="nil"/>
              <w:right w:val="nil"/>
            </w:tcBorders>
          </w:tcPr>
          <w:p w:rsidR="006415E0"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_Ref381946808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100</w:t>
            </w:r>
            <w:r>
              <w:rPr>
                <w:rFonts w:ascii="Calibri" w:hAnsi="Calibri" w:cs="Calibri"/>
                <w:b/>
                <w:color w:val="4F81BD" w:themeColor="accent1"/>
                <w:sz w:val="24"/>
                <w:szCs w:val="24"/>
              </w:rPr>
              <w:fldChar w:fldCharType="end"/>
            </w:r>
          </w:p>
        </w:tc>
      </w:tr>
      <w:tr w:rsidR="00405A80" w:rsidTr="00405A80">
        <w:trPr>
          <w:trHeight w:val="283"/>
        </w:trPr>
        <w:tc>
          <w:tcPr>
            <w:tcW w:w="11906" w:type="dxa"/>
            <w:tcBorders>
              <w:left w:val="nil"/>
              <w:bottom w:val="thickThinSmallGap" w:sz="12" w:space="0" w:color="auto"/>
              <w:right w:val="nil"/>
            </w:tcBorders>
            <w:vAlign w:val="center"/>
          </w:tcPr>
          <w:p w:rsidR="006415E0" w:rsidRDefault="00CC1B1D" w:rsidP="00CD08E3">
            <w:pPr>
              <w:spacing w:after="60"/>
              <w:jc w:val="left"/>
              <w:rPr>
                <w:rFonts w:ascii="Calibri" w:hAnsi="Calibri" w:cs="Calibri"/>
                <w:b/>
                <w:sz w:val="22"/>
                <w:szCs w:val="22"/>
              </w:rPr>
            </w:pPr>
            <w:r w:rsidRPr="001668DD">
              <w:rPr>
                <w:rFonts w:ascii="Calibri" w:hAnsi="Calibri" w:cs="Calibri"/>
                <w:b/>
                <w:sz w:val="22"/>
                <w:szCs w:val="22"/>
              </w:rPr>
              <w:t>Carbon Monoxide and Smoke alarms</w:t>
            </w:r>
          </w:p>
          <w:p w:rsidR="001668DD" w:rsidRPr="00637F1F" w:rsidRDefault="001668DD" w:rsidP="001668DD">
            <w:pPr>
              <w:spacing w:after="60"/>
              <w:ind w:left="170"/>
              <w:jc w:val="left"/>
              <w:rPr>
                <w:rFonts w:ascii="Calibri" w:hAnsi="Calibri" w:cs="Calibri"/>
              </w:rPr>
            </w:pPr>
            <w:r w:rsidRPr="00637F1F">
              <w:rPr>
                <w:rFonts w:ascii="Calibri" w:hAnsi="Calibri" w:cs="Calibri"/>
              </w:rPr>
              <w:t xml:space="preserve">(including </w:t>
            </w:r>
            <w:r w:rsidR="004E390C" w:rsidRPr="00637F1F">
              <w:rPr>
                <w:rFonts w:ascii="Calibri" w:hAnsi="Calibri" w:cs="Calibri"/>
              </w:rPr>
              <w:t>recognition of carbon monoxide poisoning symptoms, methods of protecting against carbon monoxide poisoning and carbon monoxide &amp; smoke alarms)</w:t>
            </w:r>
          </w:p>
        </w:tc>
        <w:tc>
          <w:tcPr>
            <w:tcW w:w="1513" w:type="dxa"/>
            <w:tcBorders>
              <w:left w:val="nil"/>
              <w:bottom w:val="thickThinSmallGap" w:sz="12" w:space="0" w:color="auto"/>
              <w:right w:val="nil"/>
            </w:tcBorders>
          </w:tcPr>
          <w:p w:rsidR="006415E0" w:rsidRPr="00CD08E3" w:rsidRDefault="008D181E" w:rsidP="00405A80">
            <w:pPr>
              <w:spacing w:after="60"/>
              <w:jc w:val="center"/>
              <w:rPr>
                <w:rFonts w:ascii="Calibri" w:hAnsi="Calibri" w:cs="Calibri"/>
                <w:b/>
                <w:color w:val="4F81BD" w:themeColor="accent1"/>
                <w:sz w:val="24"/>
                <w:szCs w:val="24"/>
              </w:rPr>
            </w:pPr>
            <w:r w:rsidRPr="00CD08E3">
              <w:rPr>
                <w:rFonts w:ascii="Calibri" w:hAnsi="Calibri" w:cs="Calibri"/>
                <w:b/>
                <w:color w:val="4F81BD" w:themeColor="accent1"/>
                <w:sz w:val="24"/>
                <w:szCs w:val="24"/>
              </w:rPr>
              <w:fldChar w:fldCharType="begin"/>
            </w:r>
            <w:r w:rsidR="00CC1B1D" w:rsidRPr="00CD08E3">
              <w:rPr>
                <w:rFonts w:ascii="Calibri" w:hAnsi="Calibri" w:cs="Calibri"/>
                <w:b/>
                <w:color w:val="4F81BD" w:themeColor="accent1"/>
                <w:sz w:val="24"/>
                <w:szCs w:val="24"/>
              </w:rPr>
              <w:instrText xml:space="preserve"> PAGEREF _Ref382555651 \h </w:instrText>
            </w:r>
            <w:r w:rsidRPr="00CD08E3">
              <w:rPr>
                <w:rFonts w:ascii="Calibri" w:hAnsi="Calibri" w:cs="Calibri"/>
                <w:b/>
                <w:color w:val="4F81BD" w:themeColor="accent1"/>
                <w:sz w:val="24"/>
                <w:szCs w:val="24"/>
              </w:rPr>
            </w:r>
            <w:r w:rsidRPr="00CD08E3">
              <w:rPr>
                <w:rFonts w:ascii="Calibri" w:hAnsi="Calibri" w:cs="Calibri"/>
                <w:b/>
                <w:color w:val="4F81BD" w:themeColor="accent1"/>
                <w:sz w:val="24"/>
                <w:szCs w:val="24"/>
              </w:rPr>
              <w:fldChar w:fldCharType="separate"/>
            </w:r>
            <w:r w:rsidR="00CC1B1D" w:rsidRPr="00CD08E3">
              <w:rPr>
                <w:rFonts w:ascii="Calibri" w:hAnsi="Calibri" w:cs="Calibri"/>
                <w:b/>
                <w:noProof/>
                <w:color w:val="4F81BD" w:themeColor="accent1"/>
                <w:sz w:val="24"/>
                <w:szCs w:val="24"/>
              </w:rPr>
              <w:t>54</w:t>
            </w:r>
            <w:r w:rsidRPr="00CD08E3">
              <w:rPr>
                <w:rFonts w:ascii="Calibri" w:hAnsi="Calibri" w:cs="Calibri"/>
                <w:b/>
                <w:color w:val="4F81BD" w:themeColor="accent1"/>
                <w:sz w:val="24"/>
                <w:szCs w:val="24"/>
              </w:rPr>
              <w:fldChar w:fldCharType="end"/>
            </w:r>
          </w:p>
        </w:tc>
        <w:tc>
          <w:tcPr>
            <w:tcW w:w="858" w:type="dxa"/>
            <w:tcBorders>
              <w:left w:val="nil"/>
              <w:bottom w:val="thickThinSmallGap" w:sz="12" w:space="0" w:color="auto"/>
              <w:right w:val="nil"/>
            </w:tcBorders>
          </w:tcPr>
          <w:p w:rsidR="006415E0" w:rsidRPr="00684604" w:rsidRDefault="008D181E" w:rsidP="00405A80">
            <w:pPr>
              <w:spacing w:after="60"/>
              <w:jc w:val="center"/>
              <w:rPr>
                <w:rFonts w:ascii="Calibri" w:hAnsi="Calibri" w:cs="Calibri"/>
                <w:b/>
                <w:color w:val="4F81BD" w:themeColor="accent1"/>
                <w:sz w:val="24"/>
                <w:szCs w:val="24"/>
              </w:rPr>
            </w:pPr>
            <w:r>
              <w:rPr>
                <w:rFonts w:ascii="Calibri" w:hAnsi="Calibri" w:cs="Calibri"/>
                <w:b/>
                <w:color w:val="4F81BD" w:themeColor="accent1"/>
                <w:sz w:val="24"/>
                <w:szCs w:val="24"/>
              </w:rPr>
              <w:fldChar w:fldCharType="begin"/>
            </w:r>
            <w:r w:rsidR="00E9446F">
              <w:rPr>
                <w:rFonts w:ascii="Calibri" w:hAnsi="Calibri" w:cs="Calibri"/>
                <w:b/>
                <w:color w:val="4F81BD" w:themeColor="accent1"/>
                <w:sz w:val="24"/>
                <w:szCs w:val="24"/>
              </w:rPr>
              <w:instrText xml:space="preserve"> PAGEREF _Ref381946818 \h </w:instrText>
            </w:r>
            <w:r>
              <w:rPr>
                <w:rFonts w:ascii="Calibri" w:hAnsi="Calibri" w:cs="Calibri"/>
                <w:b/>
                <w:color w:val="4F81BD" w:themeColor="accent1"/>
                <w:sz w:val="24"/>
                <w:szCs w:val="24"/>
              </w:rPr>
            </w:r>
            <w:r>
              <w:rPr>
                <w:rFonts w:ascii="Calibri" w:hAnsi="Calibri" w:cs="Calibri"/>
                <w:b/>
                <w:color w:val="4F81BD" w:themeColor="accent1"/>
                <w:sz w:val="24"/>
                <w:szCs w:val="24"/>
              </w:rPr>
              <w:fldChar w:fldCharType="separate"/>
            </w:r>
            <w:r w:rsidR="00E9446F">
              <w:rPr>
                <w:rFonts w:ascii="Calibri" w:hAnsi="Calibri" w:cs="Calibri"/>
                <w:b/>
                <w:noProof/>
                <w:color w:val="4F81BD" w:themeColor="accent1"/>
                <w:sz w:val="24"/>
                <w:szCs w:val="24"/>
              </w:rPr>
              <w:t>105</w:t>
            </w:r>
            <w:r>
              <w:rPr>
                <w:rFonts w:ascii="Calibri" w:hAnsi="Calibri" w:cs="Calibri"/>
                <w:b/>
                <w:color w:val="4F81BD" w:themeColor="accent1"/>
                <w:sz w:val="24"/>
                <w:szCs w:val="24"/>
              </w:rPr>
              <w:fldChar w:fldCharType="end"/>
            </w:r>
          </w:p>
        </w:tc>
      </w:tr>
    </w:tbl>
    <w:p w:rsidR="00937072" w:rsidRDefault="00937072" w:rsidP="00217796">
      <w:pPr>
        <w:spacing w:after="60"/>
        <w:rPr>
          <w:rFonts w:ascii="Calibri" w:hAnsi="Calibri" w:cs="Calibri"/>
          <w:b/>
          <w:color w:val="4F81BD" w:themeColor="accent1"/>
          <w:sz w:val="24"/>
          <w:szCs w:val="24"/>
        </w:rPr>
        <w:sectPr w:rsidR="00937072" w:rsidSect="00C677FA">
          <w:pgSz w:w="16838" w:h="11906" w:orient="landscape"/>
          <w:pgMar w:top="737" w:right="1440" w:bottom="737" w:left="1440" w:header="709" w:footer="709" w:gutter="0"/>
          <w:pgNumType w:fmt="lowerRoman" w:start="1"/>
          <w:cols w:space="454"/>
          <w:titlePg/>
          <w:docGrid w:linePitch="360"/>
        </w:sectPr>
      </w:pPr>
    </w:p>
    <w:p w:rsidR="00E10F38" w:rsidRDefault="00E10F38" w:rsidP="00217796">
      <w:pPr>
        <w:spacing w:after="60"/>
        <w:rPr>
          <w:rFonts w:ascii="Calibri" w:hAnsi="Calibri" w:cs="Calibri"/>
          <w:b/>
          <w:color w:val="4F81BD" w:themeColor="accent1"/>
          <w:sz w:val="24"/>
          <w:szCs w:val="24"/>
        </w:rPr>
      </w:pPr>
    </w:p>
    <w:p w:rsidR="00E10F38" w:rsidRDefault="00E10F38" w:rsidP="00217796">
      <w:pPr>
        <w:spacing w:after="60"/>
        <w:rPr>
          <w:rFonts w:ascii="Calibri" w:hAnsi="Calibri" w:cs="Calibri"/>
          <w:b/>
          <w:color w:val="4F81BD" w:themeColor="accent1"/>
          <w:sz w:val="24"/>
          <w:szCs w:val="24"/>
        </w:rPr>
        <w:sectPr w:rsidR="00E10F38" w:rsidSect="00C677FA">
          <w:pgSz w:w="16838" w:h="11906" w:orient="landscape"/>
          <w:pgMar w:top="737" w:right="1440" w:bottom="737" w:left="1440" w:header="709" w:footer="709" w:gutter="0"/>
          <w:pgNumType w:fmt="lowerRoman" w:start="1"/>
          <w:cols w:space="454"/>
          <w:titlePg/>
          <w:docGrid w:linePitch="360"/>
        </w:sectPr>
      </w:pPr>
    </w:p>
    <w:p w:rsidR="009B1C0F" w:rsidRPr="007A412E" w:rsidRDefault="009B1C0F" w:rsidP="00ED42CC">
      <w:pPr>
        <w:pStyle w:val="Heading2"/>
        <w:spacing w:before="0" w:after="120"/>
        <w:rPr>
          <w:rFonts w:asciiTheme="minorHAnsi" w:hAnsiTheme="minorHAnsi" w:cstheme="minorHAnsi"/>
          <w:sz w:val="24"/>
          <w:szCs w:val="24"/>
        </w:rPr>
      </w:pPr>
      <w:bookmarkStart w:id="1" w:name="_Ref381945748"/>
      <w:r w:rsidRPr="007A412E">
        <w:rPr>
          <w:rFonts w:asciiTheme="minorHAnsi" w:hAnsiTheme="minorHAnsi" w:cstheme="minorHAnsi"/>
          <w:sz w:val="24"/>
          <w:szCs w:val="24"/>
        </w:rPr>
        <w:lastRenderedPageBreak/>
        <w:t>Introduction</w:t>
      </w:r>
      <w:bookmarkEnd w:id="1"/>
    </w:p>
    <w:p w:rsidR="00077E6F" w:rsidRPr="00ED42CC" w:rsidRDefault="009B1C0F" w:rsidP="00ED42CC">
      <w:pPr>
        <w:tabs>
          <w:tab w:val="left" w:pos="-180"/>
        </w:tabs>
        <w:suppressAutoHyphens/>
        <w:spacing w:after="120" w:line="288" w:lineRule="auto"/>
        <w:rPr>
          <w:rFonts w:asciiTheme="minorHAnsi" w:hAnsiTheme="minorHAnsi" w:cstheme="minorHAnsi"/>
          <w:sz w:val="22"/>
          <w:szCs w:val="22"/>
        </w:rPr>
      </w:pPr>
      <w:r w:rsidRPr="00ED42CC">
        <w:rPr>
          <w:rFonts w:asciiTheme="minorHAnsi" w:hAnsiTheme="minorHAnsi" w:cstheme="minorHAnsi"/>
          <w:sz w:val="22"/>
          <w:szCs w:val="22"/>
        </w:rPr>
        <w:t xml:space="preserve">The Department of Health Social Services and Public Safety (DHSSPS) has a statutory responsibility to promote an integrated system of health and social care which is designed to secure improvement in: </w:t>
      </w:r>
    </w:p>
    <w:p w:rsidR="00077E6F" w:rsidRPr="00077E6F" w:rsidRDefault="009B1C0F" w:rsidP="00ED42CC">
      <w:pPr>
        <w:pStyle w:val="ListParagraph"/>
        <w:numPr>
          <w:ilvl w:val="0"/>
          <w:numId w:val="4"/>
        </w:numPr>
        <w:spacing w:after="240" w:line="300" w:lineRule="atLeast"/>
        <w:ind w:left="1077" w:hanging="357"/>
        <w:rPr>
          <w:rFonts w:ascii="Calibri" w:hAnsi="Calibri" w:cs="Calibri"/>
        </w:rPr>
      </w:pPr>
      <w:r w:rsidRPr="00077E6F">
        <w:rPr>
          <w:rFonts w:ascii="Calibri" w:hAnsi="Calibri" w:cs="Calibri"/>
        </w:rPr>
        <w:t xml:space="preserve">the physical and mental health of people in Northern Ireland; </w:t>
      </w:r>
    </w:p>
    <w:p w:rsidR="00077E6F" w:rsidRPr="00077E6F" w:rsidRDefault="009B1C0F" w:rsidP="00ED42CC">
      <w:pPr>
        <w:pStyle w:val="ListParagraph"/>
        <w:numPr>
          <w:ilvl w:val="0"/>
          <w:numId w:val="4"/>
        </w:numPr>
        <w:spacing w:after="240" w:line="300" w:lineRule="atLeast"/>
        <w:ind w:left="1077" w:hanging="357"/>
        <w:rPr>
          <w:rFonts w:ascii="Calibri" w:hAnsi="Calibri" w:cs="Calibri"/>
        </w:rPr>
      </w:pPr>
      <w:r w:rsidRPr="00077E6F">
        <w:rPr>
          <w:rFonts w:ascii="Calibri" w:hAnsi="Calibri" w:cs="Calibri"/>
        </w:rPr>
        <w:t xml:space="preserve">the prevention, diagnosis and treatment of illness; and </w:t>
      </w:r>
    </w:p>
    <w:p w:rsidR="00077E6F" w:rsidRPr="00077E6F" w:rsidRDefault="009B1C0F" w:rsidP="00ED42CC">
      <w:pPr>
        <w:pStyle w:val="ListParagraph"/>
        <w:numPr>
          <w:ilvl w:val="0"/>
          <w:numId w:val="4"/>
        </w:numPr>
        <w:spacing w:after="240" w:line="300" w:lineRule="atLeast"/>
        <w:ind w:left="1077" w:hanging="357"/>
        <w:rPr>
          <w:rFonts w:ascii="Calibri" w:hAnsi="Calibri" w:cs="Calibri"/>
        </w:rPr>
      </w:pPr>
      <w:r w:rsidRPr="00077E6F">
        <w:rPr>
          <w:rFonts w:ascii="Calibri" w:hAnsi="Calibri" w:cs="Calibri"/>
        </w:rPr>
        <w:t xml:space="preserve">the social wellbeing of the people in Northern Ireland.  </w:t>
      </w:r>
    </w:p>
    <w:p w:rsidR="009B1C0F" w:rsidRPr="00ED42CC" w:rsidRDefault="009B1C0F" w:rsidP="00ED42CC">
      <w:pPr>
        <w:tabs>
          <w:tab w:val="left" w:pos="-180"/>
        </w:tabs>
        <w:suppressAutoHyphens/>
        <w:spacing w:after="120" w:line="288" w:lineRule="auto"/>
        <w:rPr>
          <w:rFonts w:asciiTheme="minorHAnsi" w:hAnsiTheme="minorHAnsi" w:cstheme="minorHAnsi"/>
          <w:sz w:val="22"/>
          <w:szCs w:val="22"/>
        </w:rPr>
      </w:pPr>
      <w:r w:rsidRPr="00ED42CC">
        <w:rPr>
          <w:rFonts w:asciiTheme="minorHAnsi" w:hAnsiTheme="minorHAnsi" w:cstheme="minorHAnsi"/>
          <w:sz w:val="22"/>
          <w:szCs w:val="22"/>
        </w:rPr>
        <w:t>It is important to estimate the prevalence of particular health conditions and associated lifestyles in order to plan effectively for the future health needs of the Northern Ireland population.</w:t>
      </w:r>
    </w:p>
    <w:p w:rsidR="009B1C0F" w:rsidRDefault="009B1C0F" w:rsidP="00ED42CC">
      <w:pPr>
        <w:tabs>
          <w:tab w:val="left" w:pos="-180"/>
        </w:tabs>
        <w:suppressAutoHyphens/>
        <w:spacing w:after="120" w:line="288" w:lineRule="auto"/>
        <w:rPr>
          <w:rFonts w:asciiTheme="minorHAnsi" w:hAnsiTheme="minorHAnsi" w:cstheme="minorHAnsi"/>
          <w:sz w:val="22"/>
          <w:szCs w:val="22"/>
        </w:rPr>
      </w:pPr>
      <w:r w:rsidRPr="00ED42CC">
        <w:rPr>
          <w:rFonts w:asciiTheme="minorHAnsi" w:hAnsiTheme="minorHAnsi" w:cstheme="minorHAnsi"/>
          <w:sz w:val="22"/>
          <w:szCs w:val="22"/>
        </w:rPr>
        <w:t>The</w:t>
      </w:r>
      <w:r w:rsidR="008D74A9" w:rsidRPr="00ED42CC">
        <w:rPr>
          <w:rFonts w:asciiTheme="minorHAnsi" w:hAnsiTheme="minorHAnsi" w:cstheme="minorHAnsi"/>
          <w:sz w:val="22"/>
          <w:szCs w:val="22"/>
        </w:rPr>
        <w:t xml:space="preserve"> Health Survey Northern Ireland</w:t>
      </w:r>
      <w:r w:rsidRPr="00ED42CC">
        <w:rPr>
          <w:rFonts w:asciiTheme="minorHAnsi" w:hAnsiTheme="minorHAnsi" w:cstheme="minorHAnsi"/>
          <w:sz w:val="22"/>
          <w:szCs w:val="22"/>
        </w:rPr>
        <w:t xml:space="preserve"> aims to capture this information by asking questions on a range of health topics that meet the needs of DHSSPS policy makers and the people of Northern Ireland.  The survey runs on a continuous basis with separate modules for different policy areas</w:t>
      </w:r>
      <w:r w:rsidR="0026085B" w:rsidRPr="00ED42CC">
        <w:rPr>
          <w:rFonts w:asciiTheme="minorHAnsi" w:hAnsiTheme="minorHAnsi" w:cstheme="minorHAnsi"/>
          <w:sz w:val="22"/>
          <w:szCs w:val="22"/>
        </w:rPr>
        <w:t xml:space="preserve"> included in different years</w:t>
      </w:r>
      <w:r w:rsidRPr="00ED42CC">
        <w:rPr>
          <w:rFonts w:asciiTheme="minorHAnsi" w:hAnsiTheme="minorHAnsi" w:cstheme="minorHAnsi"/>
          <w:sz w:val="22"/>
          <w:szCs w:val="22"/>
        </w:rPr>
        <w:t>.  Background information is available in relation to sex, urban/rural, Health and Social Care Trust, and age and this information is displayed in Annex A.   In 2012/13, information was required from respondents in relation to:</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Adult General Health</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Self-Assessed Health State</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Informal caring for sick, disabled or elderly person</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Smoking</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Alcohol</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Adult obesity</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Physical activity</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Child health</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Breastfeeding</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Skin cancer prevention</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Use of sunbeds</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Hospital visits</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General Practitioners</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Medicines and Pharmacy</w:t>
      </w:r>
    </w:p>
    <w:p w:rsidR="009B1C0F" w:rsidRPr="00077E6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Sexual Health</w:t>
      </w:r>
    </w:p>
    <w:p w:rsidR="009B1C0F" w:rsidRDefault="009B1C0F" w:rsidP="00637F1F">
      <w:pPr>
        <w:pStyle w:val="ListParagraph"/>
        <w:numPr>
          <w:ilvl w:val="0"/>
          <w:numId w:val="6"/>
        </w:numPr>
        <w:spacing w:after="60" w:line="264" w:lineRule="auto"/>
        <w:ind w:left="1077" w:hanging="357"/>
        <w:rPr>
          <w:rFonts w:ascii="Calibri" w:hAnsi="Calibri" w:cs="Calibri"/>
        </w:rPr>
      </w:pPr>
      <w:r w:rsidRPr="00077E6F">
        <w:rPr>
          <w:rFonts w:ascii="Calibri" w:hAnsi="Calibri" w:cs="Calibri"/>
        </w:rPr>
        <w:t>Carbon Monoxide and smoke alarms</w:t>
      </w:r>
    </w:p>
    <w:p w:rsidR="00077E6F" w:rsidRDefault="00077E6F">
      <w:pPr>
        <w:spacing w:after="200" w:line="276" w:lineRule="auto"/>
        <w:rPr>
          <w:rFonts w:asciiTheme="minorHAnsi" w:hAnsiTheme="minorHAnsi" w:cstheme="minorHAnsi"/>
          <w:b/>
          <w:color w:val="4F81BD" w:themeColor="accent1"/>
          <w:sz w:val="24"/>
          <w:szCs w:val="24"/>
        </w:rPr>
        <w:sectPr w:rsidR="00077E6F" w:rsidSect="00ED42CC">
          <w:type w:val="continuous"/>
          <w:pgSz w:w="16838" w:h="11906" w:orient="landscape"/>
          <w:pgMar w:top="737" w:right="1440" w:bottom="737" w:left="1440" w:header="709" w:footer="709" w:gutter="0"/>
          <w:cols w:space="454"/>
          <w:docGrid w:linePitch="360"/>
        </w:sectPr>
      </w:pPr>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4A1134" w:rsidTr="004A1134">
        <w:trPr>
          <w:cantSplit/>
          <w:trHeight w:val="1607"/>
        </w:trPr>
        <w:tc>
          <w:tcPr>
            <w:tcW w:w="1184" w:type="dxa"/>
            <w:vMerge w:val="restart"/>
            <w:tcBorders>
              <w:top w:val="single" w:sz="4" w:space="0" w:color="95B3D7" w:themeColor="accent1" w:themeTint="99"/>
              <w:left w:val="single" w:sz="4" w:space="0" w:color="95B3D7" w:themeColor="accent1" w:themeTint="99"/>
              <w:right w:val="thinThickSmallGap" w:sz="24" w:space="0" w:color="B8CCE4" w:themeColor="accent1" w:themeTint="66"/>
            </w:tcBorders>
            <w:shd w:val="clear" w:color="auto" w:fill="4F81BD" w:themeFill="accent1"/>
            <w:textDirection w:val="btLr"/>
          </w:tcPr>
          <w:p w:rsidR="004A1134" w:rsidRPr="006F6FED" w:rsidRDefault="004A1134" w:rsidP="009F2918">
            <w:pPr>
              <w:pStyle w:val="Heading2"/>
              <w:spacing w:before="0" w:after="60"/>
              <w:ind w:left="113" w:right="113"/>
              <w:jc w:val="center"/>
              <w:outlineLvl w:val="1"/>
              <w:rPr>
                <w:rFonts w:ascii="Calibri" w:hAnsi="Calibri" w:cs="Calibri"/>
                <w:i/>
                <w:color w:val="DBE5F1" w:themeColor="accent1" w:themeTint="33"/>
                <w:sz w:val="72"/>
                <w:szCs w:val="72"/>
              </w:rPr>
            </w:pPr>
            <w:bookmarkStart w:id="2" w:name="_Ref382555503"/>
            <w:bookmarkStart w:id="3" w:name="_Ref381945757"/>
            <w:r w:rsidRPr="006F6FED">
              <w:rPr>
                <w:rFonts w:ascii="Calibri" w:hAnsi="Calibri" w:cs="Calibri"/>
                <w:i/>
                <w:color w:val="DBE5F1" w:themeColor="accent1" w:themeTint="33"/>
                <w:sz w:val="72"/>
                <w:szCs w:val="72"/>
              </w:rPr>
              <w:lastRenderedPageBreak/>
              <w:t>General Health</w:t>
            </w:r>
            <w:bookmarkEnd w:id="2"/>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Pr="00DC2342" w:rsidRDefault="004A113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Pr="00DC2342">
              <w:rPr>
                <w:rFonts w:asciiTheme="minorHAnsi" w:hAnsiTheme="minorHAnsi" w:cstheme="minorHAnsi"/>
                <w:i/>
                <w:color w:val="FFFFFF" w:themeColor="background1"/>
                <w:sz w:val="28"/>
                <w:szCs w:val="28"/>
              </w:rPr>
              <w:t xml:space="preserve">Health in </w:t>
            </w:r>
            <w:r>
              <w:rPr>
                <w:rFonts w:asciiTheme="minorHAnsi" w:hAnsiTheme="minorHAnsi" w:cstheme="minorHAnsi"/>
                <w:i/>
                <w:color w:val="FFFFFF" w:themeColor="background1"/>
                <w:sz w:val="28"/>
                <w:szCs w:val="28"/>
              </w:rPr>
              <w:t>g</w:t>
            </w:r>
            <w:r w:rsidRPr="00DC2342">
              <w:rPr>
                <w:rFonts w:asciiTheme="minorHAnsi" w:hAnsiTheme="minorHAnsi" w:cstheme="minorHAnsi"/>
                <w:i/>
                <w:color w:val="FFFFFF" w:themeColor="background1"/>
                <w:sz w:val="28"/>
                <w:szCs w:val="28"/>
              </w:rPr>
              <w:t>eneral</w:t>
            </w:r>
          </w:p>
        </w:tc>
      </w:tr>
      <w:tr w:rsidR="004A1134" w:rsidTr="004A1134">
        <w:trPr>
          <w:cantSplit/>
          <w:trHeight w:val="1607"/>
        </w:trPr>
        <w:tc>
          <w:tcPr>
            <w:tcW w:w="1184" w:type="dxa"/>
            <w:vMerge/>
            <w:tcBorders>
              <w:left w:val="single" w:sz="4" w:space="0" w:color="95B3D7" w:themeColor="accent1" w:themeTint="99"/>
              <w:right w:val="thinThickSmallGap" w:sz="24" w:space="0" w:color="B8CCE4" w:themeColor="accent1" w:themeTint="66"/>
            </w:tcBorders>
            <w:shd w:val="clear" w:color="auto" w:fill="4F81BD" w:themeFill="accent1"/>
          </w:tcPr>
          <w:p w:rsidR="004A1134" w:rsidRPr="006F13A2" w:rsidRDefault="004A1134" w:rsidP="009F2918">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Pr="00DC2342" w:rsidRDefault="004A1134" w:rsidP="009F2918">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Pr="00DC2342">
              <w:rPr>
                <w:rFonts w:asciiTheme="minorHAnsi" w:hAnsiTheme="minorHAnsi" w:cstheme="minorHAnsi"/>
                <w:i/>
                <w:color w:val="FFFFFF" w:themeColor="background1"/>
                <w:sz w:val="28"/>
                <w:szCs w:val="28"/>
              </w:rPr>
              <w:t>Health over the last twelve months</w:t>
            </w:r>
          </w:p>
        </w:tc>
      </w:tr>
      <w:tr w:rsidR="004A1134" w:rsidTr="004A1134">
        <w:trPr>
          <w:cantSplit/>
          <w:trHeight w:val="1607"/>
        </w:trPr>
        <w:tc>
          <w:tcPr>
            <w:tcW w:w="1184" w:type="dxa"/>
            <w:vMerge/>
            <w:tcBorders>
              <w:left w:val="single" w:sz="4" w:space="0" w:color="95B3D7" w:themeColor="accent1" w:themeTint="99"/>
              <w:right w:val="thinThickSmallGap" w:sz="24" w:space="0" w:color="B8CCE4" w:themeColor="accent1" w:themeTint="66"/>
            </w:tcBorders>
            <w:shd w:val="clear" w:color="auto" w:fill="4F81BD" w:themeFill="accent1"/>
          </w:tcPr>
          <w:p w:rsidR="004A1134" w:rsidRPr="006F13A2" w:rsidRDefault="004A1134" w:rsidP="009F2918">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Pr="00DC2342" w:rsidRDefault="004A1134" w:rsidP="009F2918">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Pr="00DC2342">
              <w:rPr>
                <w:rFonts w:asciiTheme="minorHAnsi" w:hAnsiTheme="minorHAnsi" w:cstheme="minorHAnsi"/>
                <w:i/>
                <w:color w:val="FFFFFF" w:themeColor="background1"/>
                <w:sz w:val="28"/>
                <w:szCs w:val="28"/>
              </w:rPr>
              <w:t>Health compared with twelve months ago</w:t>
            </w:r>
          </w:p>
        </w:tc>
      </w:tr>
      <w:tr w:rsidR="004A1134" w:rsidTr="004A1134">
        <w:trPr>
          <w:cantSplit/>
          <w:trHeight w:val="1607"/>
        </w:trPr>
        <w:tc>
          <w:tcPr>
            <w:tcW w:w="1184" w:type="dxa"/>
            <w:vMerge/>
            <w:tcBorders>
              <w:left w:val="single" w:sz="4" w:space="0" w:color="95B3D7" w:themeColor="accent1" w:themeTint="99"/>
              <w:right w:val="thinThickSmallGap" w:sz="24" w:space="0" w:color="B8CCE4" w:themeColor="accent1" w:themeTint="66"/>
            </w:tcBorders>
            <w:shd w:val="clear" w:color="auto" w:fill="4F81BD" w:themeFill="accent1"/>
          </w:tcPr>
          <w:p w:rsidR="004A1134" w:rsidRPr="006F13A2" w:rsidRDefault="004A1134" w:rsidP="009F2918">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Pr="00DC2342" w:rsidRDefault="004A1134" w:rsidP="009F2918">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Pr="00DC2342">
              <w:rPr>
                <w:rFonts w:asciiTheme="minorHAnsi" w:hAnsiTheme="minorHAnsi" w:cstheme="minorHAnsi"/>
                <w:i/>
                <w:color w:val="FFFFFF" w:themeColor="background1"/>
                <w:sz w:val="28"/>
                <w:szCs w:val="28"/>
              </w:rPr>
              <w:t>Satisfaction with life</w:t>
            </w:r>
          </w:p>
        </w:tc>
      </w:tr>
      <w:tr w:rsidR="004A1134" w:rsidTr="004A1134">
        <w:trPr>
          <w:cantSplit/>
          <w:trHeight w:val="1607"/>
        </w:trPr>
        <w:tc>
          <w:tcPr>
            <w:tcW w:w="1184" w:type="dxa"/>
            <w:vMerge/>
            <w:tcBorders>
              <w:left w:val="single" w:sz="4" w:space="0" w:color="95B3D7" w:themeColor="accent1" w:themeTint="99"/>
              <w:right w:val="thinThickSmallGap" w:sz="24" w:space="0" w:color="B8CCE4" w:themeColor="accent1" w:themeTint="66"/>
            </w:tcBorders>
            <w:shd w:val="clear" w:color="auto" w:fill="4F81BD" w:themeFill="accent1"/>
          </w:tcPr>
          <w:p w:rsidR="004A1134" w:rsidRPr="006F13A2" w:rsidRDefault="004A1134" w:rsidP="009F2918">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Pr="00DC2342" w:rsidRDefault="004A113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Pr="00DC2342">
              <w:rPr>
                <w:rFonts w:asciiTheme="minorHAnsi" w:hAnsiTheme="minorHAnsi" w:cstheme="minorHAnsi"/>
                <w:i/>
                <w:color w:val="FFFFFF" w:themeColor="background1"/>
                <w:sz w:val="28"/>
                <w:szCs w:val="28"/>
              </w:rPr>
              <w:t xml:space="preserve">Blood </w:t>
            </w:r>
            <w:r>
              <w:rPr>
                <w:rFonts w:asciiTheme="minorHAnsi" w:hAnsiTheme="minorHAnsi" w:cstheme="minorHAnsi"/>
                <w:i/>
                <w:color w:val="FFFFFF" w:themeColor="background1"/>
                <w:sz w:val="28"/>
                <w:szCs w:val="28"/>
              </w:rPr>
              <w:t>p</w:t>
            </w:r>
            <w:r w:rsidRPr="00DC2342">
              <w:rPr>
                <w:rFonts w:asciiTheme="minorHAnsi" w:hAnsiTheme="minorHAnsi" w:cstheme="minorHAnsi"/>
                <w:i/>
                <w:color w:val="FFFFFF" w:themeColor="background1"/>
                <w:sz w:val="28"/>
                <w:szCs w:val="28"/>
              </w:rPr>
              <w:t>ressure</w:t>
            </w:r>
          </w:p>
        </w:tc>
      </w:tr>
      <w:tr w:rsidR="004A1134" w:rsidTr="004A1134">
        <w:trPr>
          <w:cantSplit/>
          <w:trHeight w:val="1607"/>
        </w:trPr>
        <w:tc>
          <w:tcPr>
            <w:tcW w:w="1184" w:type="dxa"/>
            <w:vMerge/>
            <w:tcBorders>
              <w:left w:val="single" w:sz="4" w:space="0" w:color="95B3D7" w:themeColor="accent1" w:themeTint="99"/>
              <w:bottom w:val="single" w:sz="4" w:space="0" w:color="95B3D7" w:themeColor="accent1" w:themeTint="99"/>
              <w:right w:val="thinThickSmallGap" w:sz="24" w:space="0" w:color="B8CCE4" w:themeColor="accent1" w:themeTint="66"/>
            </w:tcBorders>
            <w:shd w:val="clear" w:color="auto" w:fill="4F81BD" w:themeFill="accent1"/>
          </w:tcPr>
          <w:p w:rsidR="004A1134" w:rsidRPr="006F13A2" w:rsidRDefault="004A1134" w:rsidP="009F2918">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B8CCE4" w:themeColor="accent1" w:themeTint="66"/>
              <w:bottom w:val="nil"/>
              <w:right w:val="nil"/>
            </w:tcBorders>
            <w:shd w:val="clear" w:color="auto" w:fill="4F81BD" w:themeFill="accent1"/>
            <w:vAlign w:val="center"/>
          </w:tcPr>
          <w:p w:rsidR="004A1134" w:rsidRDefault="004A113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Carers</w:t>
            </w:r>
          </w:p>
        </w:tc>
      </w:tr>
    </w:tbl>
    <w:p w:rsidR="00B55745" w:rsidRPr="00B55745" w:rsidRDefault="00B55745" w:rsidP="00B55745">
      <w:pPr>
        <w:rPr>
          <w:rFonts w:asciiTheme="minorHAnsi" w:hAnsiTheme="minorHAnsi" w:cstheme="minorHAnsi"/>
          <w:sz w:val="22"/>
          <w:szCs w:val="22"/>
        </w:rPr>
      </w:pPr>
    </w:p>
    <w:p w:rsidR="00B55745" w:rsidRPr="00B55745" w:rsidRDefault="00B55745" w:rsidP="000447D5">
      <w:pPr>
        <w:jc w:val="left"/>
        <w:rPr>
          <w:rFonts w:asciiTheme="minorHAnsi" w:hAnsiTheme="minorHAnsi" w:cstheme="minorHAnsi"/>
          <w:sz w:val="22"/>
          <w:szCs w:val="22"/>
        </w:rPr>
      </w:pPr>
    </w:p>
    <w:p w:rsidR="00B55745" w:rsidRPr="00B55745" w:rsidRDefault="00B55745" w:rsidP="000447D5">
      <w:pPr>
        <w:jc w:val="lef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32"/>
        <w:gridCol w:w="1432"/>
        <w:gridCol w:w="1432"/>
        <w:gridCol w:w="1432"/>
        <w:gridCol w:w="1433"/>
      </w:tblGrid>
      <w:tr w:rsidR="003C264D" w:rsidRPr="00B55745" w:rsidTr="0040507D">
        <w:trPr>
          <w:trHeight w:val="1361"/>
        </w:trPr>
        <w:tc>
          <w:tcPr>
            <w:tcW w:w="2864" w:type="dxa"/>
            <w:gridSpan w:val="2"/>
            <w:tcBorders>
              <w:top w:val="nil"/>
              <w:left w:val="nil"/>
              <w:bottom w:val="nil"/>
              <w:right w:val="nil"/>
            </w:tcBorders>
            <w:shd w:val="clear" w:color="auto" w:fill="4F81BD" w:themeFill="accent1"/>
            <w:vAlign w:val="center"/>
          </w:tcPr>
          <w:p w:rsidR="003C264D" w:rsidRPr="005C7F16" w:rsidRDefault="005C7F16" w:rsidP="000447D5">
            <w:pPr>
              <w:jc w:val="left"/>
              <w:rPr>
                <w:rFonts w:asciiTheme="minorHAnsi" w:hAnsiTheme="minorHAnsi" w:cstheme="minorHAnsi"/>
                <w:b/>
                <w:i/>
                <w:color w:val="FFFFFF" w:themeColor="background1"/>
                <w:sz w:val="24"/>
                <w:szCs w:val="24"/>
              </w:rPr>
            </w:pPr>
            <w:r w:rsidRPr="005C7F16">
              <w:rPr>
                <w:rFonts w:asciiTheme="minorHAnsi" w:hAnsiTheme="minorHAnsi" w:cstheme="minorHAnsi"/>
                <w:b/>
                <w:i/>
                <w:color w:val="FFFFFF" w:themeColor="background1"/>
                <w:sz w:val="24"/>
                <w:szCs w:val="24"/>
              </w:rPr>
              <w:t>61% of respondents  described their health over the last twelve months as good, while 15% said it was poor</w:t>
            </w: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2865" w:type="dxa"/>
            <w:gridSpan w:val="2"/>
            <w:vMerge w:val="restart"/>
            <w:tcBorders>
              <w:top w:val="nil"/>
              <w:left w:val="nil"/>
              <w:bottom w:val="nil"/>
              <w:right w:val="nil"/>
            </w:tcBorders>
            <w:shd w:val="clear" w:color="auto" w:fill="365F91" w:themeFill="accent1" w:themeFillShade="BF"/>
            <w:vAlign w:val="center"/>
          </w:tcPr>
          <w:p w:rsidR="003C264D" w:rsidRPr="00E92CC1" w:rsidRDefault="003C264D" w:rsidP="000447D5">
            <w:pPr>
              <w:jc w:val="left"/>
              <w:rPr>
                <w:rFonts w:asciiTheme="minorHAnsi" w:hAnsiTheme="minorHAnsi" w:cstheme="minorHAnsi"/>
                <w:b/>
                <w:i/>
                <w:color w:val="FFFFFF" w:themeColor="background1"/>
                <w:sz w:val="26"/>
                <w:szCs w:val="26"/>
              </w:rPr>
            </w:pPr>
            <w:r w:rsidRPr="00E92CC1">
              <w:rPr>
                <w:rFonts w:asciiTheme="minorHAnsi" w:hAnsiTheme="minorHAnsi" w:cstheme="minorHAnsi"/>
                <w:b/>
                <w:i/>
                <w:color w:val="FFFFFF" w:themeColor="background1"/>
                <w:sz w:val="26"/>
                <w:szCs w:val="26"/>
              </w:rPr>
              <w:t>80% of those in the least deprived areas described their health in general as good or very good compared with 63% of those in the most deprived areas</w:t>
            </w:r>
          </w:p>
        </w:tc>
      </w:tr>
      <w:tr w:rsidR="003C264D" w:rsidRPr="00B55745" w:rsidTr="0040507D">
        <w:trPr>
          <w:trHeight w:val="1020"/>
        </w:trPr>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2865" w:type="dxa"/>
            <w:gridSpan w:val="2"/>
            <w:vMerge/>
            <w:tcBorders>
              <w:top w:val="nil"/>
              <w:left w:val="nil"/>
              <w:bottom w:val="nil"/>
              <w:right w:val="nil"/>
            </w:tcBorders>
            <w:shd w:val="clear" w:color="auto" w:fill="365F91" w:themeFill="accent1" w:themeFillShade="BF"/>
          </w:tcPr>
          <w:p w:rsidR="003C264D" w:rsidRPr="00E92CC1" w:rsidRDefault="003C264D" w:rsidP="000447D5">
            <w:pPr>
              <w:jc w:val="left"/>
              <w:rPr>
                <w:rFonts w:asciiTheme="minorHAnsi" w:hAnsiTheme="minorHAnsi" w:cstheme="minorHAnsi"/>
                <w:b/>
                <w:i/>
                <w:color w:val="FFFFFF" w:themeColor="background1"/>
                <w:sz w:val="22"/>
                <w:szCs w:val="22"/>
              </w:rPr>
            </w:pPr>
          </w:p>
        </w:tc>
      </w:tr>
      <w:tr w:rsidR="00E92CC1" w:rsidRPr="00B55745" w:rsidTr="005C7F16">
        <w:trPr>
          <w:trHeight w:val="340"/>
        </w:trPr>
        <w:tc>
          <w:tcPr>
            <w:tcW w:w="1432" w:type="dxa"/>
            <w:tcBorders>
              <w:top w:val="nil"/>
              <w:left w:val="nil"/>
              <w:bottom w:val="nil"/>
              <w:right w:val="nil"/>
            </w:tcBorders>
            <w:shd w:val="clear" w:color="auto" w:fill="FFFFFF" w:themeFill="background1"/>
          </w:tcPr>
          <w:p w:rsidR="00E92CC1" w:rsidRPr="00E92CC1" w:rsidRDefault="00E92CC1" w:rsidP="000447D5">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E92CC1" w:rsidRPr="00E92CC1" w:rsidRDefault="00E92CC1" w:rsidP="000447D5">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E92CC1" w:rsidRPr="00E92CC1" w:rsidRDefault="00E92CC1" w:rsidP="000447D5">
            <w:pPr>
              <w:jc w:val="left"/>
              <w:rPr>
                <w:rFonts w:asciiTheme="minorHAnsi" w:hAnsiTheme="minorHAnsi" w:cstheme="minorHAnsi"/>
                <w:b/>
                <w:i/>
                <w:color w:val="FFFFFF" w:themeColor="background1"/>
                <w:sz w:val="22"/>
                <w:szCs w:val="22"/>
              </w:rPr>
            </w:pPr>
          </w:p>
        </w:tc>
      </w:tr>
      <w:tr w:rsidR="003C264D" w:rsidRPr="00B55745" w:rsidTr="0040507D">
        <w:trPr>
          <w:trHeight w:val="1587"/>
        </w:trPr>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95B3D7" w:themeFill="accent1" w:themeFillTint="99"/>
            <w:vAlign w:val="center"/>
          </w:tcPr>
          <w:p w:rsidR="003C264D" w:rsidRPr="00820002" w:rsidRDefault="005C7F16" w:rsidP="000447D5">
            <w:pPr>
              <w:jc w:val="left"/>
              <w:rPr>
                <w:rFonts w:asciiTheme="minorHAnsi" w:hAnsiTheme="minorHAnsi" w:cstheme="minorHAnsi"/>
                <w:b/>
                <w:i/>
                <w:color w:val="FFFFFF" w:themeColor="background1"/>
                <w:sz w:val="32"/>
                <w:szCs w:val="32"/>
              </w:rPr>
            </w:pPr>
            <w:r w:rsidRPr="00820002">
              <w:rPr>
                <w:rFonts w:asciiTheme="minorHAnsi" w:hAnsiTheme="minorHAnsi" w:cstheme="minorHAnsi"/>
                <w:b/>
                <w:i/>
                <w:color w:val="FFFFFF" w:themeColor="background1"/>
                <w:sz w:val="32"/>
                <w:szCs w:val="32"/>
              </w:rPr>
              <w:t>72% of respondents  described their health in general as being good or very good</w:t>
            </w:r>
          </w:p>
        </w:tc>
        <w:tc>
          <w:tcPr>
            <w:tcW w:w="1433"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r>
      <w:tr w:rsidR="00B55745" w:rsidRPr="00B55745" w:rsidTr="005C7F16">
        <w:trPr>
          <w:trHeight w:val="510"/>
        </w:trPr>
        <w:tc>
          <w:tcPr>
            <w:tcW w:w="1432" w:type="dxa"/>
            <w:tcBorders>
              <w:top w:val="nil"/>
              <w:left w:val="nil"/>
              <w:bottom w:val="nil"/>
              <w:right w:val="nil"/>
            </w:tcBorders>
            <w:shd w:val="clear" w:color="auto" w:fill="FFFFFF" w:themeFill="background1"/>
          </w:tcPr>
          <w:p w:rsidR="00B55745" w:rsidRPr="00E92CC1" w:rsidRDefault="00B55745"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55745" w:rsidRPr="00E92CC1" w:rsidRDefault="00B55745"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55745" w:rsidRPr="00E92CC1" w:rsidRDefault="00B55745"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55745" w:rsidRPr="00E92CC1" w:rsidRDefault="00B55745" w:rsidP="000447D5">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B55745" w:rsidRPr="00E92CC1" w:rsidRDefault="00B55745" w:rsidP="000447D5">
            <w:pPr>
              <w:jc w:val="left"/>
              <w:rPr>
                <w:rFonts w:asciiTheme="minorHAnsi" w:hAnsiTheme="minorHAnsi" w:cstheme="minorHAnsi"/>
                <w:b/>
                <w:i/>
                <w:color w:val="FFFFFF" w:themeColor="background1"/>
                <w:sz w:val="22"/>
                <w:szCs w:val="22"/>
              </w:rPr>
            </w:pPr>
          </w:p>
        </w:tc>
      </w:tr>
      <w:tr w:rsidR="003C264D" w:rsidRPr="00B55745" w:rsidTr="0040507D">
        <w:trPr>
          <w:trHeight w:val="1361"/>
        </w:trPr>
        <w:tc>
          <w:tcPr>
            <w:tcW w:w="2864" w:type="dxa"/>
            <w:gridSpan w:val="2"/>
            <w:vMerge w:val="restart"/>
            <w:tcBorders>
              <w:top w:val="nil"/>
              <w:left w:val="nil"/>
              <w:bottom w:val="nil"/>
              <w:right w:val="nil"/>
            </w:tcBorders>
            <w:shd w:val="clear" w:color="auto" w:fill="DBE5F1" w:themeFill="accent1" w:themeFillTint="33"/>
            <w:vAlign w:val="center"/>
          </w:tcPr>
          <w:p w:rsidR="003C264D" w:rsidRPr="0040507D" w:rsidRDefault="003C264D" w:rsidP="000447D5">
            <w:pPr>
              <w:jc w:val="left"/>
              <w:rPr>
                <w:rFonts w:asciiTheme="minorHAnsi" w:hAnsiTheme="minorHAnsi" w:cstheme="minorHAnsi"/>
                <w:b/>
                <w:i/>
                <w:color w:val="4F81BD" w:themeColor="accent1"/>
                <w:sz w:val="24"/>
                <w:szCs w:val="24"/>
              </w:rPr>
            </w:pPr>
            <w:r w:rsidRPr="0040507D">
              <w:rPr>
                <w:rFonts w:asciiTheme="minorHAnsi" w:hAnsiTheme="minorHAnsi" w:cstheme="minorHAnsi"/>
                <w:b/>
                <w:i/>
                <w:color w:val="4F81BD" w:themeColor="accent1"/>
                <w:sz w:val="24"/>
                <w:szCs w:val="24"/>
              </w:rPr>
              <w:t>Almost a third of those aged 75 and over (32%) thought that their health was worse than it was twelve months ago</w:t>
            </w: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244061" w:themeFill="accent1" w:themeFillShade="80"/>
            <w:vAlign w:val="center"/>
          </w:tcPr>
          <w:p w:rsidR="003C264D" w:rsidRPr="00C663F3" w:rsidRDefault="003C264D" w:rsidP="000447D5">
            <w:pPr>
              <w:jc w:val="left"/>
              <w:rPr>
                <w:rFonts w:asciiTheme="minorHAnsi" w:hAnsiTheme="minorHAnsi" w:cstheme="minorHAnsi"/>
                <w:b/>
                <w:i/>
                <w:color w:val="FFFFFF" w:themeColor="background1"/>
                <w:sz w:val="21"/>
                <w:szCs w:val="21"/>
              </w:rPr>
            </w:pPr>
            <w:r w:rsidRPr="00C663F3">
              <w:rPr>
                <w:rFonts w:asciiTheme="minorHAnsi" w:hAnsiTheme="minorHAnsi" w:cstheme="minorHAnsi"/>
                <w:b/>
                <w:i/>
                <w:color w:val="FFFFFF" w:themeColor="background1"/>
                <w:sz w:val="21"/>
                <w:szCs w:val="21"/>
              </w:rPr>
              <w:t>87% of respondents  were satisfied with their life</w:t>
            </w:r>
          </w:p>
        </w:tc>
        <w:tc>
          <w:tcPr>
            <w:tcW w:w="1433"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r>
      <w:tr w:rsidR="003C264D" w:rsidRPr="00B55745" w:rsidTr="0040507D">
        <w:trPr>
          <w:trHeight w:val="567"/>
        </w:trPr>
        <w:tc>
          <w:tcPr>
            <w:tcW w:w="2864" w:type="dxa"/>
            <w:gridSpan w:val="2"/>
            <w:vMerge/>
            <w:tcBorders>
              <w:top w:val="nil"/>
              <w:left w:val="nil"/>
              <w:bottom w:val="nil"/>
              <w:right w:val="nil"/>
            </w:tcBorders>
            <w:shd w:val="clear" w:color="auto" w:fill="DBE5F1" w:themeFill="accent1" w:themeFillTint="33"/>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r>
      <w:tr w:rsidR="005C7F16" w:rsidRPr="00B55745" w:rsidTr="005C7F16">
        <w:trPr>
          <w:trHeight w:val="283"/>
        </w:trPr>
        <w:tc>
          <w:tcPr>
            <w:tcW w:w="1432" w:type="dxa"/>
            <w:tcBorders>
              <w:top w:val="nil"/>
              <w:left w:val="nil"/>
              <w:bottom w:val="nil"/>
              <w:right w:val="nil"/>
            </w:tcBorders>
            <w:shd w:val="clear" w:color="auto" w:fill="FFFFFF" w:themeFill="background1"/>
          </w:tcPr>
          <w:p w:rsidR="005C7F16" w:rsidRPr="00E92CC1" w:rsidRDefault="005C7F16"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5C7F16" w:rsidRPr="00E92CC1" w:rsidRDefault="005C7F16" w:rsidP="000447D5">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FFFF" w:themeFill="background1"/>
          </w:tcPr>
          <w:p w:rsidR="005C7F16" w:rsidRPr="00E92CC1" w:rsidRDefault="005C7F16" w:rsidP="000447D5">
            <w:pPr>
              <w:jc w:val="left"/>
              <w:rPr>
                <w:rFonts w:asciiTheme="minorHAnsi" w:hAnsiTheme="minorHAnsi" w:cstheme="minorHAnsi"/>
                <w:b/>
                <w:i/>
                <w:color w:val="FFFFFF" w:themeColor="background1"/>
                <w:sz w:val="22"/>
                <w:szCs w:val="22"/>
              </w:rPr>
            </w:pPr>
          </w:p>
        </w:tc>
      </w:tr>
      <w:tr w:rsidR="003C264D" w:rsidRPr="00B55745" w:rsidTr="0040507D">
        <w:trPr>
          <w:trHeight w:val="1701"/>
        </w:trPr>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C264D" w:rsidRPr="00E92CC1" w:rsidRDefault="003C264D" w:rsidP="000447D5">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4F81BD" w:themeFill="accent1"/>
          </w:tcPr>
          <w:p w:rsidR="003C264D" w:rsidRPr="0040507D" w:rsidRDefault="003C264D" w:rsidP="000447D5">
            <w:pPr>
              <w:jc w:val="left"/>
              <w:rPr>
                <w:rFonts w:asciiTheme="minorHAnsi" w:hAnsiTheme="minorHAnsi" w:cstheme="minorHAnsi"/>
                <w:b/>
                <w:i/>
                <w:color w:val="FFFFFF" w:themeColor="background1"/>
                <w:sz w:val="22"/>
                <w:szCs w:val="22"/>
              </w:rPr>
            </w:pPr>
          </w:p>
          <w:p w:rsidR="003C264D" w:rsidRPr="00820002" w:rsidRDefault="003C264D" w:rsidP="000447D5">
            <w:pPr>
              <w:jc w:val="left"/>
              <w:rPr>
                <w:rFonts w:asciiTheme="minorHAnsi" w:hAnsiTheme="minorHAnsi" w:cstheme="minorHAnsi"/>
                <w:b/>
                <w:i/>
                <w:color w:val="FFFFFF" w:themeColor="background1"/>
                <w:sz w:val="26"/>
                <w:szCs w:val="26"/>
              </w:rPr>
            </w:pPr>
            <w:r w:rsidRPr="00820002">
              <w:rPr>
                <w:rFonts w:asciiTheme="minorHAnsi" w:hAnsiTheme="minorHAnsi" w:cstheme="minorHAnsi"/>
                <w:b/>
                <w:i/>
                <w:color w:val="FFFFFF" w:themeColor="background1"/>
                <w:sz w:val="26"/>
                <w:szCs w:val="26"/>
                <w:shd w:val="clear" w:color="auto" w:fill="4F81BD" w:themeFill="accent1"/>
              </w:rPr>
              <w:t>The probability of ever having had high blood pressure increased with age from 6% of 16-24 year olds to 56% of those aged 75 &amp; over</w:t>
            </w:r>
          </w:p>
        </w:tc>
      </w:tr>
    </w:tbl>
    <w:p w:rsidR="00B55745" w:rsidRPr="00B55745" w:rsidRDefault="00B55745" w:rsidP="000447D5">
      <w:pPr>
        <w:jc w:val="left"/>
        <w:rPr>
          <w:rFonts w:asciiTheme="minorHAnsi" w:hAnsiTheme="minorHAnsi" w:cstheme="minorHAnsi"/>
          <w:sz w:val="22"/>
          <w:szCs w:val="22"/>
        </w:rPr>
        <w:sectPr w:rsidR="00B55745" w:rsidRPr="00B55745" w:rsidSect="00937072">
          <w:footerReference w:type="default" r:id="rId12"/>
          <w:pgSz w:w="16838" w:h="11906" w:orient="landscape"/>
          <w:pgMar w:top="737" w:right="1247" w:bottom="737" w:left="1247" w:header="709" w:footer="454" w:gutter="0"/>
          <w:pgNumType w:start="1"/>
          <w:cols w:num="2" w:space="454"/>
          <w:docGrid w:linePitch="360"/>
        </w:sectPr>
      </w:pPr>
    </w:p>
    <w:bookmarkEnd w:id="3"/>
    <w:p w:rsidR="00413174" w:rsidRPr="0040507D" w:rsidRDefault="00F01E54" w:rsidP="0040507D">
      <w:pPr>
        <w:tabs>
          <w:tab w:val="left" w:pos="-180"/>
        </w:tabs>
        <w:suppressAutoHyphens/>
        <w:spacing w:after="120"/>
        <w:rPr>
          <w:rFonts w:asciiTheme="minorHAnsi" w:hAnsiTheme="minorHAnsi" w:cstheme="minorHAnsi"/>
          <w:b/>
          <w:color w:val="4F81BD" w:themeColor="accent1"/>
          <w:sz w:val="24"/>
          <w:szCs w:val="24"/>
        </w:rPr>
      </w:pPr>
      <w:r w:rsidRPr="0040507D">
        <w:rPr>
          <w:rFonts w:asciiTheme="minorHAnsi" w:hAnsiTheme="minorHAnsi" w:cstheme="minorHAnsi"/>
          <w:b/>
          <w:color w:val="4F81BD" w:themeColor="accent1"/>
          <w:sz w:val="24"/>
          <w:szCs w:val="24"/>
        </w:rPr>
        <w:lastRenderedPageBreak/>
        <w:t>Health in General</w:t>
      </w:r>
      <w:r w:rsidR="00F566AB" w:rsidRPr="0040507D">
        <w:rPr>
          <w:rFonts w:asciiTheme="minorHAnsi" w:hAnsiTheme="minorHAnsi" w:cstheme="minorHAnsi"/>
          <w:b/>
          <w:color w:val="4F81BD" w:themeColor="accent1"/>
          <w:sz w:val="24"/>
          <w:szCs w:val="24"/>
        </w:rPr>
        <w:t xml:space="preserve"> </w:t>
      </w:r>
    </w:p>
    <w:p w:rsidR="00413174" w:rsidRDefault="00F01E54"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Almost three-quarters of respondents (72%) described their health in general as being good or very good, with 19% saying their health in general was fair and 9% </w:t>
      </w:r>
      <w:r w:rsidR="007D7024">
        <w:rPr>
          <w:rFonts w:asciiTheme="minorHAnsi" w:hAnsiTheme="minorHAnsi" w:cstheme="minorHAnsi"/>
          <w:sz w:val="22"/>
          <w:szCs w:val="22"/>
        </w:rPr>
        <w:t>bad or very bad</w:t>
      </w:r>
      <w:r>
        <w:rPr>
          <w:rFonts w:asciiTheme="minorHAnsi" w:hAnsiTheme="minorHAnsi" w:cstheme="minorHAnsi"/>
          <w:sz w:val="22"/>
          <w:szCs w:val="22"/>
        </w:rPr>
        <w:t xml:space="preserve">.  There was </w:t>
      </w:r>
      <w:r w:rsidR="00C6389D">
        <w:rPr>
          <w:rFonts w:asciiTheme="minorHAnsi" w:hAnsiTheme="minorHAnsi" w:cstheme="minorHAnsi"/>
          <w:sz w:val="22"/>
          <w:szCs w:val="22"/>
        </w:rPr>
        <w:t>little</w:t>
      </w:r>
      <w:r>
        <w:rPr>
          <w:rFonts w:asciiTheme="minorHAnsi" w:hAnsiTheme="minorHAnsi" w:cstheme="minorHAnsi"/>
          <w:sz w:val="22"/>
          <w:szCs w:val="22"/>
        </w:rPr>
        <w:t xml:space="preserve"> difference between males and females.  </w:t>
      </w:r>
    </w:p>
    <w:p w:rsidR="0040507D" w:rsidRPr="007033B0" w:rsidRDefault="0040507D" w:rsidP="007033B0">
      <w:pPr>
        <w:tabs>
          <w:tab w:val="left" w:pos="-180"/>
        </w:tabs>
        <w:suppressAutoHyphens/>
        <w:spacing w:line="276" w:lineRule="auto"/>
        <w:rPr>
          <w:rFonts w:asciiTheme="minorHAnsi" w:hAnsiTheme="minorHAnsi" w:cstheme="minorHAnsi"/>
          <w:sz w:val="16"/>
          <w:szCs w:val="16"/>
        </w:rPr>
      </w:pPr>
    </w:p>
    <w:p w:rsidR="00F01E54" w:rsidRDefault="00F01E54" w:rsidP="00413174">
      <w:pPr>
        <w:tabs>
          <w:tab w:val="left" w:pos="-180"/>
        </w:tabs>
        <w:suppressAutoHyphens/>
        <w:spacing w:after="120"/>
        <w:rPr>
          <w:rFonts w:asciiTheme="minorHAnsi" w:hAnsiTheme="minorHAnsi" w:cstheme="minorHAnsi"/>
          <w:b/>
          <w:color w:val="4F81BD" w:themeColor="accent1"/>
          <w:sz w:val="24"/>
          <w:szCs w:val="24"/>
        </w:rPr>
      </w:pPr>
      <w:r w:rsidRPr="00F01E54">
        <w:rPr>
          <w:rFonts w:asciiTheme="minorHAnsi" w:hAnsiTheme="minorHAnsi" w:cstheme="minorHAnsi"/>
          <w:b/>
          <w:noProof/>
          <w:color w:val="4F81BD" w:themeColor="accent1"/>
          <w:sz w:val="24"/>
          <w:szCs w:val="24"/>
          <w:lang w:val="en-IE" w:eastAsia="en-IE"/>
        </w:rPr>
        <w:drawing>
          <wp:inline distT="0" distB="0" distL="0" distR="0">
            <wp:extent cx="4324350" cy="2340000"/>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507D" w:rsidRDefault="0040507D" w:rsidP="007033B0">
      <w:pPr>
        <w:tabs>
          <w:tab w:val="left" w:pos="-180"/>
        </w:tabs>
        <w:suppressAutoHyphens/>
        <w:spacing w:line="276" w:lineRule="auto"/>
        <w:rPr>
          <w:rFonts w:asciiTheme="minorHAnsi" w:hAnsiTheme="minorHAnsi" w:cstheme="minorHAnsi"/>
          <w:sz w:val="22"/>
          <w:szCs w:val="22"/>
        </w:rPr>
      </w:pPr>
    </w:p>
    <w:p w:rsidR="00125501" w:rsidRPr="00E10B93" w:rsidRDefault="00E77D91"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The rating of h</w:t>
      </w:r>
      <w:r w:rsidR="00125501">
        <w:rPr>
          <w:rFonts w:asciiTheme="minorHAnsi" w:hAnsiTheme="minorHAnsi" w:cstheme="minorHAnsi"/>
          <w:sz w:val="22"/>
          <w:szCs w:val="22"/>
        </w:rPr>
        <w:t xml:space="preserve">ealth in general </w:t>
      </w:r>
      <w:r w:rsidR="00F1199C">
        <w:rPr>
          <w:rFonts w:asciiTheme="minorHAnsi" w:hAnsiTheme="minorHAnsi" w:cstheme="minorHAnsi"/>
          <w:sz w:val="22"/>
          <w:szCs w:val="22"/>
        </w:rPr>
        <w:t xml:space="preserve">by respondents </w:t>
      </w:r>
      <w:r w:rsidR="00125501">
        <w:rPr>
          <w:rFonts w:asciiTheme="minorHAnsi" w:hAnsiTheme="minorHAnsi" w:cstheme="minorHAnsi"/>
          <w:sz w:val="22"/>
          <w:szCs w:val="22"/>
        </w:rPr>
        <w:t xml:space="preserve">declined with age </w:t>
      </w:r>
      <w:r>
        <w:rPr>
          <w:rFonts w:asciiTheme="minorHAnsi" w:hAnsiTheme="minorHAnsi" w:cstheme="minorHAnsi"/>
          <w:sz w:val="22"/>
          <w:szCs w:val="22"/>
        </w:rPr>
        <w:t>from</w:t>
      </w:r>
      <w:r w:rsidR="00125501">
        <w:rPr>
          <w:rFonts w:asciiTheme="minorHAnsi" w:hAnsiTheme="minorHAnsi" w:cstheme="minorHAnsi"/>
          <w:sz w:val="22"/>
          <w:szCs w:val="22"/>
        </w:rPr>
        <w:t xml:space="preserve"> 88% of 18-24 year olds describing their health as good or very good </w:t>
      </w:r>
      <w:r>
        <w:rPr>
          <w:rFonts w:asciiTheme="minorHAnsi" w:hAnsiTheme="minorHAnsi" w:cstheme="minorHAnsi"/>
          <w:sz w:val="22"/>
          <w:szCs w:val="22"/>
        </w:rPr>
        <w:t>to</w:t>
      </w:r>
      <w:r w:rsidR="00125501">
        <w:rPr>
          <w:rFonts w:asciiTheme="minorHAnsi" w:hAnsiTheme="minorHAnsi" w:cstheme="minorHAnsi"/>
          <w:sz w:val="22"/>
          <w:szCs w:val="22"/>
        </w:rPr>
        <w:t xml:space="preserve"> 46% of those aged 75 and</w:t>
      </w:r>
      <w:r w:rsidR="00125501" w:rsidRPr="00FB6512">
        <w:rPr>
          <w:rFonts w:asciiTheme="minorHAnsi" w:hAnsiTheme="minorHAnsi" w:cstheme="minorHAnsi"/>
          <w:sz w:val="22"/>
          <w:szCs w:val="22"/>
        </w:rPr>
        <w:t xml:space="preserve"> </w:t>
      </w:r>
      <w:r w:rsidR="00125501">
        <w:rPr>
          <w:rFonts w:asciiTheme="minorHAnsi" w:hAnsiTheme="minorHAnsi" w:cstheme="minorHAnsi"/>
          <w:sz w:val="22"/>
          <w:szCs w:val="22"/>
        </w:rPr>
        <w:t>over.  Only 3% of respondents aged 18-24 described their health in general as bad or very bad compared with 17% of those aged 75 and</w:t>
      </w:r>
      <w:r w:rsidR="00125501" w:rsidRPr="00FB6512">
        <w:rPr>
          <w:rFonts w:asciiTheme="minorHAnsi" w:hAnsiTheme="minorHAnsi" w:cstheme="minorHAnsi"/>
          <w:sz w:val="22"/>
          <w:szCs w:val="22"/>
        </w:rPr>
        <w:t xml:space="preserve"> </w:t>
      </w:r>
      <w:r w:rsidR="00125501">
        <w:rPr>
          <w:rFonts w:asciiTheme="minorHAnsi" w:hAnsiTheme="minorHAnsi" w:cstheme="minorHAnsi"/>
          <w:sz w:val="22"/>
          <w:szCs w:val="22"/>
        </w:rPr>
        <w:t xml:space="preserve">over.  </w:t>
      </w:r>
    </w:p>
    <w:p w:rsidR="00125501" w:rsidRDefault="00125501" w:rsidP="00125501">
      <w:pPr>
        <w:tabs>
          <w:tab w:val="left" w:pos="-180"/>
        </w:tabs>
        <w:suppressAutoHyphens/>
        <w:spacing w:after="120"/>
        <w:rPr>
          <w:rFonts w:asciiTheme="minorHAnsi" w:hAnsiTheme="minorHAnsi" w:cstheme="minorHAnsi"/>
          <w:b/>
          <w:color w:val="4F81BD" w:themeColor="accent1"/>
          <w:sz w:val="24"/>
          <w:szCs w:val="24"/>
        </w:rPr>
      </w:pPr>
      <w:r w:rsidRPr="00FB6512">
        <w:rPr>
          <w:rFonts w:asciiTheme="minorHAnsi" w:hAnsiTheme="minorHAnsi" w:cstheme="minorHAnsi"/>
          <w:b/>
          <w:noProof/>
          <w:color w:val="4F81BD" w:themeColor="accent1"/>
          <w:sz w:val="24"/>
          <w:szCs w:val="24"/>
          <w:lang w:val="en-IE" w:eastAsia="en-IE"/>
        </w:rPr>
        <w:lastRenderedPageBreak/>
        <w:drawing>
          <wp:inline distT="0" distB="0" distL="0" distR="0">
            <wp:extent cx="4324350" cy="2700000"/>
            <wp:effectExtent l="19050" t="0" r="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3174" w:rsidRDefault="009154DB" w:rsidP="0040507D">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Almos</w:t>
      </w:r>
      <w:r w:rsidR="001442A0">
        <w:rPr>
          <w:rFonts w:asciiTheme="minorHAnsi" w:hAnsiTheme="minorHAnsi" w:cstheme="minorHAnsi"/>
          <w:sz w:val="22"/>
          <w:szCs w:val="22"/>
        </w:rPr>
        <w:t>t two</w:t>
      </w:r>
      <w:r w:rsidR="00E77D91">
        <w:rPr>
          <w:rFonts w:asciiTheme="minorHAnsi" w:hAnsiTheme="minorHAnsi" w:cstheme="minorHAnsi"/>
          <w:sz w:val="22"/>
          <w:szCs w:val="22"/>
        </w:rPr>
        <w:t>-</w:t>
      </w:r>
      <w:r w:rsidR="001442A0">
        <w:rPr>
          <w:rFonts w:asciiTheme="minorHAnsi" w:hAnsiTheme="minorHAnsi" w:cstheme="minorHAnsi"/>
          <w:sz w:val="22"/>
          <w:szCs w:val="22"/>
        </w:rPr>
        <w:t xml:space="preserve">fifths of those living in rural locations (38%) described their health in general as very good in comparison with </w:t>
      </w:r>
      <w:r w:rsidR="00E77D91">
        <w:rPr>
          <w:rFonts w:asciiTheme="minorHAnsi" w:hAnsiTheme="minorHAnsi" w:cstheme="minorHAnsi"/>
          <w:sz w:val="22"/>
          <w:szCs w:val="22"/>
        </w:rPr>
        <w:t>29%</w:t>
      </w:r>
      <w:r w:rsidR="001442A0">
        <w:rPr>
          <w:rFonts w:asciiTheme="minorHAnsi" w:hAnsiTheme="minorHAnsi" w:cstheme="minorHAnsi"/>
          <w:sz w:val="22"/>
          <w:szCs w:val="22"/>
        </w:rPr>
        <w:t xml:space="preserve"> of those livi</w:t>
      </w:r>
      <w:r w:rsidR="00E77D91">
        <w:rPr>
          <w:rFonts w:asciiTheme="minorHAnsi" w:hAnsiTheme="minorHAnsi" w:cstheme="minorHAnsi"/>
          <w:sz w:val="22"/>
          <w:szCs w:val="22"/>
        </w:rPr>
        <w:t>ng in urban locations</w:t>
      </w:r>
      <w:r w:rsidR="001442A0">
        <w:rPr>
          <w:rFonts w:asciiTheme="minorHAnsi" w:hAnsiTheme="minorHAnsi" w:cstheme="minorHAnsi"/>
          <w:sz w:val="22"/>
          <w:szCs w:val="22"/>
        </w:rPr>
        <w:t xml:space="preserve">.  The proportion who described their health in general as poor or very poor was almost double for those living in urban </w:t>
      </w:r>
      <w:r w:rsidR="00E77D91">
        <w:rPr>
          <w:rFonts w:asciiTheme="minorHAnsi" w:hAnsiTheme="minorHAnsi" w:cstheme="minorHAnsi"/>
          <w:sz w:val="22"/>
          <w:szCs w:val="22"/>
        </w:rPr>
        <w:t>area</w:t>
      </w:r>
      <w:r w:rsidR="001442A0">
        <w:rPr>
          <w:rFonts w:asciiTheme="minorHAnsi" w:hAnsiTheme="minorHAnsi" w:cstheme="minorHAnsi"/>
          <w:sz w:val="22"/>
          <w:szCs w:val="22"/>
        </w:rPr>
        <w:t xml:space="preserve">s (11%) than rural </w:t>
      </w:r>
      <w:r w:rsidR="00E77D91">
        <w:rPr>
          <w:rFonts w:asciiTheme="minorHAnsi" w:hAnsiTheme="minorHAnsi" w:cstheme="minorHAnsi"/>
          <w:sz w:val="22"/>
          <w:szCs w:val="22"/>
        </w:rPr>
        <w:t>area</w:t>
      </w:r>
      <w:r w:rsidR="001442A0">
        <w:rPr>
          <w:rFonts w:asciiTheme="minorHAnsi" w:hAnsiTheme="minorHAnsi" w:cstheme="minorHAnsi"/>
          <w:sz w:val="22"/>
          <w:szCs w:val="22"/>
        </w:rPr>
        <w:t>s (6%).</w:t>
      </w:r>
    </w:p>
    <w:p w:rsidR="00854489" w:rsidRDefault="00854489" w:rsidP="00057794">
      <w:pPr>
        <w:tabs>
          <w:tab w:val="left" w:pos="-180"/>
        </w:tabs>
        <w:suppressAutoHyphens/>
        <w:spacing w:after="120"/>
        <w:rPr>
          <w:rFonts w:asciiTheme="minorHAnsi" w:hAnsiTheme="minorHAnsi" w:cstheme="minorHAnsi"/>
          <w:b/>
          <w:color w:val="4F81BD" w:themeColor="accent1"/>
          <w:sz w:val="24"/>
          <w:szCs w:val="24"/>
        </w:rPr>
      </w:pPr>
      <w:r w:rsidRPr="00854489">
        <w:rPr>
          <w:rFonts w:asciiTheme="minorHAnsi" w:hAnsiTheme="minorHAnsi" w:cstheme="minorHAnsi"/>
          <w:b/>
          <w:noProof/>
          <w:color w:val="4F81BD" w:themeColor="accent1"/>
          <w:sz w:val="24"/>
          <w:szCs w:val="24"/>
          <w:lang w:val="en-IE" w:eastAsia="en-IE"/>
        </w:rPr>
        <w:drawing>
          <wp:inline distT="0" distB="0" distL="0" distR="0">
            <wp:extent cx="4324350" cy="2376000"/>
            <wp:effectExtent l="1905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3174" w:rsidRDefault="007D7024"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Over three-quarters of respondents in the South Eastern Trust area (76%) described their health in general as good or very good compared with 69% of those in the Belfast Trust area.  The proportion of respondents who described their health in general as bad or very bad in the Belfast Trust area (14%) was double that of both the South Eastern and Northern Trust areas (7%).</w:t>
      </w:r>
    </w:p>
    <w:p w:rsidR="0040507D" w:rsidRPr="007033B0" w:rsidRDefault="0040507D" w:rsidP="007033B0">
      <w:pPr>
        <w:tabs>
          <w:tab w:val="left" w:pos="-180"/>
        </w:tabs>
        <w:suppressAutoHyphens/>
        <w:spacing w:line="276" w:lineRule="auto"/>
        <w:rPr>
          <w:rFonts w:asciiTheme="minorHAnsi" w:hAnsiTheme="minorHAnsi" w:cstheme="minorHAnsi"/>
          <w:sz w:val="16"/>
          <w:szCs w:val="16"/>
        </w:rPr>
      </w:pPr>
    </w:p>
    <w:p w:rsidR="00413174" w:rsidRDefault="007D7024" w:rsidP="00057794">
      <w:pPr>
        <w:tabs>
          <w:tab w:val="left" w:pos="-180"/>
        </w:tabs>
        <w:suppressAutoHyphens/>
        <w:spacing w:after="120"/>
        <w:rPr>
          <w:rFonts w:asciiTheme="minorHAnsi" w:hAnsiTheme="minorHAnsi" w:cstheme="minorHAnsi"/>
          <w:b/>
          <w:color w:val="4F81BD" w:themeColor="accent1"/>
          <w:sz w:val="24"/>
          <w:szCs w:val="24"/>
        </w:rPr>
      </w:pPr>
      <w:r w:rsidRPr="007D7024">
        <w:rPr>
          <w:rFonts w:asciiTheme="minorHAnsi" w:hAnsiTheme="minorHAnsi" w:cstheme="minorHAnsi"/>
          <w:b/>
          <w:noProof/>
          <w:color w:val="4F81BD" w:themeColor="accent1"/>
          <w:sz w:val="24"/>
          <w:szCs w:val="24"/>
          <w:lang w:val="en-IE" w:eastAsia="en-IE"/>
        </w:rPr>
        <w:drawing>
          <wp:inline distT="0" distB="0" distL="0" distR="0">
            <wp:extent cx="4324350" cy="2700000"/>
            <wp:effectExtent l="1905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507D" w:rsidRPr="007033B0" w:rsidRDefault="0040507D" w:rsidP="007033B0">
      <w:pPr>
        <w:tabs>
          <w:tab w:val="left" w:pos="-180"/>
        </w:tabs>
        <w:suppressAutoHyphens/>
        <w:spacing w:line="276" w:lineRule="auto"/>
        <w:rPr>
          <w:rFonts w:asciiTheme="minorHAnsi" w:hAnsiTheme="minorHAnsi" w:cstheme="minorHAnsi"/>
          <w:sz w:val="16"/>
          <w:szCs w:val="16"/>
        </w:rPr>
      </w:pPr>
    </w:p>
    <w:p w:rsidR="00413174" w:rsidRPr="00E10B93" w:rsidRDefault="00125501"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Four-fifths of those in the least de</w:t>
      </w:r>
      <w:r w:rsidR="0047039D">
        <w:rPr>
          <w:rFonts w:asciiTheme="minorHAnsi" w:hAnsiTheme="minorHAnsi" w:cstheme="minorHAnsi"/>
          <w:sz w:val="22"/>
          <w:szCs w:val="22"/>
        </w:rPr>
        <w:t>p</w:t>
      </w:r>
      <w:r>
        <w:rPr>
          <w:rFonts w:asciiTheme="minorHAnsi" w:hAnsiTheme="minorHAnsi" w:cstheme="minorHAnsi"/>
          <w:sz w:val="22"/>
          <w:szCs w:val="22"/>
        </w:rPr>
        <w:t xml:space="preserve">rived areas (80%) </w:t>
      </w:r>
      <w:bookmarkStart w:id="4" w:name="OLE_LINK6"/>
      <w:bookmarkStart w:id="5" w:name="OLE_LINK7"/>
      <w:r>
        <w:rPr>
          <w:rFonts w:asciiTheme="minorHAnsi" w:hAnsiTheme="minorHAnsi" w:cstheme="minorHAnsi"/>
          <w:sz w:val="22"/>
          <w:szCs w:val="22"/>
        </w:rPr>
        <w:t xml:space="preserve">described their health in general as good or very good compared with 63% of those in the most deprived areas.  </w:t>
      </w:r>
      <w:bookmarkEnd w:id="4"/>
      <w:bookmarkEnd w:id="5"/>
      <w:r w:rsidR="00E77D91">
        <w:rPr>
          <w:rFonts w:asciiTheme="minorHAnsi" w:hAnsiTheme="minorHAnsi" w:cstheme="minorHAnsi"/>
          <w:sz w:val="22"/>
          <w:szCs w:val="22"/>
        </w:rPr>
        <w:t>Conversely, a</w:t>
      </w:r>
      <w:r>
        <w:rPr>
          <w:rFonts w:asciiTheme="minorHAnsi" w:hAnsiTheme="minorHAnsi" w:cstheme="minorHAnsi"/>
          <w:sz w:val="22"/>
          <w:szCs w:val="22"/>
        </w:rPr>
        <w:t xml:space="preserve">lmost a fifth of those in the most deprived areas (17%) described their health in general as bad or very bad compared with 5% of those in the least deprived areas.  </w:t>
      </w:r>
    </w:p>
    <w:p w:rsidR="00413174" w:rsidRDefault="00125501" w:rsidP="00057794">
      <w:pPr>
        <w:tabs>
          <w:tab w:val="left" w:pos="-180"/>
        </w:tabs>
        <w:suppressAutoHyphens/>
        <w:spacing w:after="120"/>
        <w:rPr>
          <w:rFonts w:asciiTheme="minorHAnsi" w:hAnsiTheme="minorHAnsi" w:cstheme="minorHAnsi"/>
          <w:b/>
          <w:color w:val="4F81BD" w:themeColor="accent1"/>
          <w:sz w:val="24"/>
          <w:szCs w:val="24"/>
        </w:rPr>
      </w:pPr>
      <w:r w:rsidRPr="00125501">
        <w:rPr>
          <w:rFonts w:asciiTheme="minorHAnsi" w:hAnsiTheme="minorHAnsi" w:cstheme="minorHAnsi"/>
          <w:b/>
          <w:noProof/>
          <w:color w:val="4F81BD" w:themeColor="accent1"/>
          <w:sz w:val="24"/>
          <w:szCs w:val="24"/>
          <w:lang w:val="en-IE" w:eastAsia="en-IE"/>
        </w:rPr>
        <w:lastRenderedPageBreak/>
        <w:drawing>
          <wp:inline distT="0" distB="0" distL="0" distR="0">
            <wp:extent cx="4324350" cy="2700000"/>
            <wp:effectExtent l="1905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33B0" w:rsidRDefault="007033B0" w:rsidP="0040507D">
      <w:pPr>
        <w:tabs>
          <w:tab w:val="left" w:pos="-180"/>
        </w:tabs>
        <w:suppressAutoHyphens/>
        <w:spacing w:after="120"/>
        <w:rPr>
          <w:rFonts w:asciiTheme="minorHAnsi" w:hAnsiTheme="minorHAnsi" w:cstheme="minorHAnsi"/>
          <w:b/>
          <w:color w:val="4F81BD" w:themeColor="accent1"/>
          <w:sz w:val="16"/>
          <w:szCs w:val="16"/>
        </w:rPr>
      </w:pPr>
      <w:bookmarkStart w:id="6" w:name="OLE_LINK10"/>
      <w:bookmarkStart w:id="7" w:name="OLE_LINK11"/>
    </w:p>
    <w:p w:rsidR="007033B0" w:rsidRDefault="007033B0" w:rsidP="0040507D">
      <w:pPr>
        <w:tabs>
          <w:tab w:val="left" w:pos="-180"/>
        </w:tabs>
        <w:suppressAutoHyphens/>
        <w:spacing w:after="120"/>
        <w:rPr>
          <w:rFonts w:asciiTheme="minorHAnsi" w:hAnsiTheme="minorHAnsi" w:cstheme="minorHAnsi"/>
          <w:b/>
          <w:color w:val="4F81BD" w:themeColor="accent1"/>
          <w:sz w:val="16"/>
          <w:szCs w:val="16"/>
        </w:rPr>
      </w:pPr>
    </w:p>
    <w:p w:rsidR="00F566AB" w:rsidRPr="0040507D" w:rsidRDefault="00F566AB" w:rsidP="0040507D">
      <w:pPr>
        <w:tabs>
          <w:tab w:val="left" w:pos="-180"/>
        </w:tabs>
        <w:suppressAutoHyphens/>
        <w:spacing w:after="120"/>
        <w:rPr>
          <w:rFonts w:asciiTheme="minorHAnsi" w:hAnsiTheme="minorHAnsi" w:cstheme="minorHAnsi"/>
          <w:b/>
          <w:color w:val="4F81BD" w:themeColor="accent1"/>
          <w:sz w:val="24"/>
          <w:szCs w:val="24"/>
        </w:rPr>
      </w:pPr>
      <w:r w:rsidRPr="0040507D">
        <w:rPr>
          <w:rFonts w:asciiTheme="minorHAnsi" w:hAnsiTheme="minorHAnsi" w:cstheme="minorHAnsi"/>
          <w:b/>
          <w:color w:val="4F81BD" w:themeColor="accent1"/>
          <w:sz w:val="24"/>
          <w:szCs w:val="24"/>
        </w:rPr>
        <w:t xml:space="preserve">Health over the Last Twelve Months </w:t>
      </w:r>
    </w:p>
    <w:p w:rsidR="00413174" w:rsidRPr="00E10B93" w:rsidRDefault="00F566AB"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Three-fifths </w:t>
      </w:r>
      <w:bookmarkEnd w:id="6"/>
      <w:bookmarkEnd w:id="7"/>
      <w:r>
        <w:rPr>
          <w:rFonts w:asciiTheme="minorHAnsi" w:hAnsiTheme="minorHAnsi" w:cstheme="minorHAnsi"/>
          <w:sz w:val="22"/>
          <w:szCs w:val="22"/>
        </w:rPr>
        <w:t>of respondents (61%) described their health over the last twelve months as good, while 24% said it was fairly good and 15% said it was poor.</w:t>
      </w:r>
      <w:r w:rsidR="0060734B">
        <w:rPr>
          <w:rFonts w:asciiTheme="minorHAnsi" w:hAnsiTheme="minorHAnsi" w:cstheme="minorHAnsi"/>
          <w:sz w:val="22"/>
          <w:szCs w:val="22"/>
        </w:rPr>
        <w:t xml:space="preserve">  There was </w:t>
      </w:r>
      <w:r w:rsidR="00E77D91">
        <w:rPr>
          <w:rFonts w:asciiTheme="minorHAnsi" w:hAnsiTheme="minorHAnsi" w:cstheme="minorHAnsi"/>
          <w:sz w:val="22"/>
          <w:szCs w:val="22"/>
        </w:rPr>
        <w:t>little</w:t>
      </w:r>
      <w:r w:rsidR="0060734B">
        <w:rPr>
          <w:rFonts w:asciiTheme="minorHAnsi" w:hAnsiTheme="minorHAnsi" w:cstheme="minorHAnsi"/>
          <w:sz w:val="22"/>
          <w:szCs w:val="22"/>
        </w:rPr>
        <w:t xml:space="preserve"> difference between males and females.  </w:t>
      </w:r>
    </w:p>
    <w:p w:rsidR="00413174" w:rsidRDefault="006336B0" w:rsidP="00057794">
      <w:pPr>
        <w:tabs>
          <w:tab w:val="left" w:pos="-180"/>
        </w:tabs>
        <w:suppressAutoHyphens/>
        <w:spacing w:after="120"/>
        <w:rPr>
          <w:rFonts w:asciiTheme="minorHAnsi" w:hAnsiTheme="minorHAnsi" w:cstheme="minorHAnsi"/>
          <w:b/>
          <w:color w:val="4F81BD" w:themeColor="accent1"/>
          <w:sz w:val="24"/>
          <w:szCs w:val="24"/>
        </w:rPr>
      </w:pPr>
      <w:r w:rsidRPr="006336B0">
        <w:rPr>
          <w:rFonts w:asciiTheme="minorHAnsi" w:hAnsiTheme="minorHAnsi" w:cstheme="minorHAnsi"/>
          <w:b/>
          <w:noProof/>
          <w:color w:val="4F81BD" w:themeColor="accent1"/>
          <w:sz w:val="24"/>
          <w:szCs w:val="24"/>
          <w:lang w:val="en-IE" w:eastAsia="en-IE"/>
        </w:rPr>
        <w:drawing>
          <wp:inline distT="0" distB="0" distL="0" distR="0">
            <wp:extent cx="4324350" cy="2160000"/>
            <wp:effectExtent l="19050" t="0" r="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3174" w:rsidRDefault="00042064"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 xml:space="preserve">Four-fifths of those aged 18-24 (81%) described their health over the last twelve months as good compared with under a third of those aged 75 and over (31%).  Almost a third of those aged 75 and over (30%) described their health over the last twelve months as not good. </w:t>
      </w:r>
    </w:p>
    <w:p w:rsidR="007033B0" w:rsidRPr="007033B0" w:rsidRDefault="007033B0" w:rsidP="007033B0">
      <w:pPr>
        <w:tabs>
          <w:tab w:val="left" w:pos="-180"/>
        </w:tabs>
        <w:suppressAutoHyphens/>
        <w:spacing w:line="276" w:lineRule="auto"/>
        <w:rPr>
          <w:rFonts w:asciiTheme="minorHAnsi" w:hAnsiTheme="minorHAnsi" w:cstheme="minorHAnsi"/>
          <w:sz w:val="16"/>
          <w:szCs w:val="16"/>
        </w:rPr>
      </w:pPr>
    </w:p>
    <w:p w:rsidR="00413174" w:rsidRDefault="00C00F9F" w:rsidP="00057794">
      <w:pPr>
        <w:tabs>
          <w:tab w:val="left" w:pos="-180"/>
        </w:tabs>
        <w:suppressAutoHyphens/>
        <w:spacing w:after="120"/>
        <w:rPr>
          <w:rFonts w:asciiTheme="minorHAnsi" w:hAnsiTheme="minorHAnsi" w:cstheme="minorHAnsi"/>
          <w:b/>
          <w:color w:val="4F81BD" w:themeColor="accent1"/>
          <w:sz w:val="24"/>
          <w:szCs w:val="24"/>
        </w:rPr>
      </w:pPr>
      <w:r w:rsidRPr="00C00F9F">
        <w:rPr>
          <w:rFonts w:asciiTheme="minorHAnsi" w:hAnsiTheme="minorHAnsi" w:cstheme="minorHAnsi"/>
          <w:b/>
          <w:noProof/>
          <w:color w:val="4F81BD" w:themeColor="accent1"/>
          <w:sz w:val="24"/>
          <w:szCs w:val="24"/>
          <w:lang w:val="en-IE" w:eastAsia="en-IE"/>
        </w:rPr>
        <w:drawing>
          <wp:inline distT="0" distB="0" distL="0" distR="0">
            <wp:extent cx="4324350" cy="2700000"/>
            <wp:effectExtent l="1905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33B0" w:rsidRPr="007033B0" w:rsidRDefault="007033B0" w:rsidP="007033B0">
      <w:pPr>
        <w:tabs>
          <w:tab w:val="left" w:pos="-180"/>
        </w:tabs>
        <w:suppressAutoHyphens/>
        <w:spacing w:line="276" w:lineRule="auto"/>
        <w:rPr>
          <w:rFonts w:asciiTheme="minorHAnsi" w:hAnsiTheme="minorHAnsi" w:cstheme="minorHAnsi"/>
          <w:sz w:val="16"/>
          <w:szCs w:val="16"/>
        </w:rPr>
      </w:pPr>
      <w:bookmarkStart w:id="8" w:name="OLE_LINK8"/>
      <w:bookmarkStart w:id="9" w:name="OLE_LINK9"/>
    </w:p>
    <w:p w:rsidR="00042064" w:rsidRPr="00E10B93" w:rsidRDefault="00042064"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 quarter</w:t>
      </w:r>
      <w:bookmarkEnd w:id="8"/>
      <w:bookmarkEnd w:id="9"/>
      <w:r>
        <w:rPr>
          <w:rFonts w:asciiTheme="minorHAnsi" w:hAnsiTheme="minorHAnsi" w:cstheme="minorHAnsi"/>
          <w:sz w:val="22"/>
          <w:szCs w:val="22"/>
        </w:rPr>
        <w:t xml:space="preserve"> of those in the most deprived quintile (25%) described their health over the last twelve months as not good in comparison with</w:t>
      </w:r>
      <w:r w:rsidR="00BB301C">
        <w:rPr>
          <w:rFonts w:asciiTheme="minorHAnsi" w:hAnsiTheme="minorHAnsi" w:cstheme="minorHAnsi"/>
          <w:sz w:val="22"/>
          <w:szCs w:val="22"/>
        </w:rPr>
        <w:t xml:space="preserve"> 10%</w:t>
      </w:r>
      <w:r>
        <w:rPr>
          <w:rFonts w:asciiTheme="minorHAnsi" w:hAnsiTheme="minorHAnsi" w:cstheme="minorHAnsi"/>
          <w:sz w:val="22"/>
          <w:szCs w:val="22"/>
        </w:rPr>
        <w:t xml:space="preserve"> of those </w:t>
      </w:r>
      <w:r w:rsidR="00BB301C">
        <w:rPr>
          <w:rFonts w:asciiTheme="minorHAnsi" w:hAnsiTheme="minorHAnsi" w:cstheme="minorHAnsi"/>
          <w:sz w:val="22"/>
          <w:szCs w:val="22"/>
        </w:rPr>
        <w:t>in the least deprived quintile.  Two-</w:t>
      </w:r>
      <w:r>
        <w:rPr>
          <w:rFonts w:asciiTheme="minorHAnsi" w:hAnsiTheme="minorHAnsi" w:cstheme="minorHAnsi"/>
          <w:sz w:val="22"/>
          <w:szCs w:val="22"/>
        </w:rPr>
        <w:t xml:space="preserve">thirds of those in the least deprived quintile (69%) described their health over the last twelve months as good compared with </w:t>
      </w:r>
      <w:r w:rsidR="00BB301C">
        <w:rPr>
          <w:rFonts w:asciiTheme="minorHAnsi" w:hAnsiTheme="minorHAnsi" w:cstheme="minorHAnsi"/>
          <w:sz w:val="22"/>
          <w:szCs w:val="22"/>
        </w:rPr>
        <w:t>around</w:t>
      </w:r>
      <w:r>
        <w:rPr>
          <w:rFonts w:asciiTheme="minorHAnsi" w:hAnsiTheme="minorHAnsi" w:cstheme="minorHAnsi"/>
          <w:sz w:val="22"/>
          <w:szCs w:val="22"/>
        </w:rPr>
        <w:t xml:space="preserve"> half of those in the most deprived quintile (53%).  </w:t>
      </w:r>
    </w:p>
    <w:p w:rsidR="00C00F9F" w:rsidRDefault="00C00F9F" w:rsidP="00057794">
      <w:pPr>
        <w:tabs>
          <w:tab w:val="left" w:pos="-180"/>
        </w:tabs>
        <w:suppressAutoHyphens/>
        <w:spacing w:after="120"/>
        <w:rPr>
          <w:rFonts w:asciiTheme="minorHAnsi" w:hAnsiTheme="minorHAnsi" w:cstheme="minorHAnsi"/>
          <w:b/>
          <w:color w:val="4F81BD" w:themeColor="accent1"/>
          <w:sz w:val="24"/>
          <w:szCs w:val="24"/>
        </w:rPr>
      </w:pPr>
      <w:r w:rsidRPr="00C00F9F">
        <w:rPr>
          <w:rFonts w:asciiTheme="minorHAnsi" w:hAnsiTheme="minorHAnsi" w:cstheme="minorHAnsi"/>
          <w:b/>
          <w:noProof/>
          <w:color w:val="4F81BD" w:themeColor="accent1"/>
          <w:sz w:val="24"/>
          <w:szCs w:val="24"/>
          <w:lang w:val="en-IE" w:eastAsia="en-IE"/>
        </w:rPr>
        <w:lastRenderedPageBreak/>
        <w:drawing>
          <wp:inline distT="0" distB="0" distL="0" distR="0">
            <wp:extent cx="4324350" cy="2700000"/>
            <wp:effectExtent l="19050" t="0" r="0"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33B0" w:rsidRDefault="007033B0" w:rsidP="0040507D">
      <w:pPr>
        <w:tabs>
          <w:tab w:val="left" w:pos="-180"/>
        </w:tabs>
        <w:suppressAutoHyphens/>
        <w:spacing w:after="120"/>
        <w:rPr>
          <w:rFonts w:asciiTheme="minorHAnsi" w:hAnsiTheme="minorHAnsi" w:cstheme="minorHAnsi"/>
          <w:b/>
          <w:color w:val="4F81BD" w:themeColor="accent1"/>
          <w:sz w:val="24"/>
          <w:szCs w:val="24"/>
        </w:rPr>
      </w:pPr>
    </w:p>
    <w:p w:rsidR="00042064" w:rsidRPr="0040507D" w:rsidRDefault="00042064" w:rsidP="0040507D">
      <w:pPr>
        <w:tabs>
          <w:tab w:val="left" w:pos="-180"/>
        </w:tabs>
        <w:suppressAutoHyphens/>
        <w:spacing w:after="120"/>
        <w:rPr>
          <w:rFonts w:asciiTheme="minorHAnsi" w:hAnsiTheme="minorHAnsi" w:cstheme="minorHAnsi"/>
          <w:b/>
          <w:color w:val="4F81BD" w:themeColor="accent1"/>
          <w:sz w:val="24"/>
          <w:szCs w:val="24"/>
        </w:rPr>
      </w:pPr>
      <w:r w:rsidRPr="0040507D">
        <w:rPr>
          <w:rFonts w:asciiTheme="minorHAnsi" w:hAnsiTheme="minorHAnsi" w:cstheme="minorHAnsi"/>
          <w:b/>
          <w:color w:val="4F81BD" w:themeColor="accent1"/>
          <w:sz w:val="24"/>
          <w:szCs w:val="24"/>
        </w:rPr>
        <w:t>Health Compared With Twelve Months Ago</w:t>
      </w:r>
    </w:p>
    <w:p w:rsidR="00042064" w:rsidRPr="007033B0" w:rsidRDefault="00AB41D5" w:rsidP="007033B0">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 two-thirds</w:t>
      </w:r>
      <w:r w:rsidR="00042064">
        <w:rPr>
          <w:rFonts w:asciiTheme="minorHAnsi" w:hAnsiTheme="minorHAnsi" w:cstheme="minorHAnsi"/>
          <w:sz w:val="22"/>
          <w:szCs w:val="22"/>
        </w:rPr>
        <w:t xml:space="preserve"> of respondents (</w:t>
      </w:r>
      <w:r>
        <w:rPr>
          <w:rFonts w:asciiTheme="minorHAnsi" w:hAnsiTheme="minorHAnsi" w:cstheme="minorHAnsi"/>
          <w:sz w:val="22"/>
          <w:szCs w:val="22"/>
        </w:rPr>
        <w:t>70</w:t>
      </w:r>
      <w:r w:rsidR="00042064">
        <w:rPr>
          <w:rFonts w:asciiTheme="minorHAnsi" w:hAnsiTheme="minorHAnsi" w:cstheme="minorHAnsi"/>
          <w:sz w:val="22"/>
          <w:szCs w:val="22"/>
        </w:rPr>
        <w:t xml:space="preserve">%) described their health </w:t>
      </w:r>
      <w:r>
        <w:rPr>
          <w:rFonts w:asciiTheme="minorHAnsi" w:hAnsiTheme="minorHAnsi" w:cstheme="minorHAnsi"/>
          <w:sz w:val="22"/>
          <w:szCs w:val="22"/>
        </w:rPr>
        <w:t>compared with</w:t>
      </w:r>
      <w:r w:rsidR="00042064">
        <w:rPr>
          <w:rFonts w:asciiTheme="minorHAnsi" w:hAnsiTheme="minorHAnsi" w:cstheme="minorHAnsi"/>
          <w:sz w:val="22"/>
          <w:szCs w:val="22"/>
        </w:rPr>
        <w:t xml:space="preserve"> twelve months </w:t>
      </w:r>
      <w:r>
        <w:rPr>
          <w:rFonts w:asciiTheme="minorHAnsi" w:hAnsiTheme="minorHAnsi" w:cstheme="minorHAnsi"/>
          <w:sz w:val="22"/>
          <w:szCs w:val="22"/>
        </w:rPr>
        <w:t xml:space="preserve">ago </w:t>
      </w:r>
      <w:r w:rsidR="00042064">
        <w:rPr>
          <w:rFonts w:asciiTheme="minorHAnsi" w:hAnsiTheme="minorHAnsi" w:cstheme="minorHAnsi"/>
          <w:sz w:val="22"/>
          <w:szCs w:val="22"/>
        </w:rPr>
        <w:t xml:space="preserve">as </w:t>
      </w:r>
      <w:r>
        <w:rPr>
          <w:rFonts w:asciiTheme="minorHAnsi" w:hAnsiTheme="minorHAnsi" w:cstheme="minorHAnsi"/>
          <w:sz w:val="22"/>
          <w:szCs w:val="22"/>
        </w:rPr>
        <w:t>being the same</w:t>
      </w:r>
      <w:r w:rsidR="00042064">
        <w:rPr>
          <w:rFonts w:asciiTheme="minorHAnsi" w:hAnsiTheme="minorHAnsi" w:cstheme="minorHAnsi"/>
          <w:sz w:val="22"/>
          <w:szCs w:val="22"/>
        </w:rPr>
        <w:t xml:space="preserve">, while </w:t>
      </w:r>
      <w:r>
        <w:rPr>
          <w:rFonts w:asciiTheme="minorHAnsi" w:hAnsiTheme="minorHAnsi" w:cstheme="minorHAnsi"/>
          <w:sz w:val="22"/>
          <w:szCs w:val="22"/>
        </w:rPr>
        <w:t>16</w:t>
      </w:r>
      <w:r w:rsidR="00042064">
        <w:rPr>
          <w:rFonts w:asciiTheme="minorHAnsi" w:hAnsiTheme="minorHAnsi" w:cstheme="minorHAnsi"/>
          <w:sz w:val="22"/>
          <w:szCs w:val="22"/>
        </w:rPr>
        <w:t xml:space="preserve">% said it was </w:t>
      </w:r>
      <w:r>
        <w:rPr>
          <w:rFonts w:asciiTheme="minorHAnsi" w:hAnsiTheme="minorHAnsi" w:cstheme="minorHAnsi"/>
          <w:sz w:val="22"/>
          <w:szCs w:val="22"/>
        </w:rPr>
        <w:t>worse</w:t>
      </w:r>
      <w:r w:rsidR="00042064">
        <w:rPr>
          <w:rFonts w:asciiTheme="minorHAnsi" w:hAnsiTheme="minorHAnsi" w:cstheme="minorHAnsi"/>
          <w:sz w:val="22"/>
          <w:szCs w:val="22"/>
        </w:rPr>
        <w:t xml:space="preserve"> and 1</w:t>
      </w:r>
      <w:r w:rsidR="000D49E9">
        <w:rPr>
          <w:rFonts w:asciiTheme="minorHAnsi" w:hAnsiTheme="minorHAnsi" w:cstheme="minorHAnsi"/>
          <w:sz w:val="22"/>
          <w:szCs w:val="22"/>
        </w:rPr>
        <w:t>3</w:t>
      </w:r>
      <w:r w:rsidR="00042064">
        <w:rPr>
          <w:rFonts w:asciiTheme="minorHAnsi" w:hAnsiTheme="minorHAnsi" w:cstheme="minorHAnsi"/>
          <w:sz w:val="22"/>
          <w:szCs w:val="22"/>
        </w:rPr>
        <w:t xml:space="preserve">% </w:t>
      </w:r>
      <w:r w:rsidR="00042064" w:rsidRPr="007033B0">
        <w:rPr>
          <w:rFonts w:asciiTheme="minorHAnsi" w:hAnsiTheme="minorHAnsi" w:cstheme="minorHAnsi"/>
          <w:sz w:val="22"/>
          <w:szCs w:val="22"/>
        </w:rPr>
        <w:t xml:space="preserve">said it was </w:t>
      </w:r>
      <w:r w:rsidRPr="007033B0">
        <w:rPr>
          <w:rFonts w:asciiTheme="minorHAnsi" w:hAnsiTheme="minorHAnsi" w:cstheme="minorHAnsi"/>
          <w:sz w:val="22"/>
          <w:szCs w:val="22"/>
        </w:rPr>
        <w:t>bette</w:t>
      </w:r>
      <w:r w:rsidR="00042064" w:rsidRPr="007033B0">
        <w:rPr>
          <w:rFonts w:asciiTheme="minorHAnsi" w:hAnsiTheme="minorHAnsi" w:cstheme="minorHAnsi"/>
          <w:sz w:val="22"/>
          <w:szCs w:val="22"/>
        </w:rPr>
        <w:t xml:space="preserve">r.  </w:t>
      </w:r>
      <w:r w:rsidR="00BB301C" w:rsidRPr="007033B0">
        <w:rPr>
          <w:rFonts w:asciiTheme="minorHAnsi" w:hAnsiTheme="minorHAnsi" w:cstheme="minorHAnsi"/>
          <w:sz w:val="22"/>
          <w:szCs w:val="22"/>
        </w:rPr>
        <w:t>This was broadly true for both</w:t>
      </w:r>
      <w:r w:rsidR="00042064" w:rsidRPr="007033B0">
        <w:rPr>
          <w:rFonts w:asciiTheme="minorHAnsi" w:hAnsiTheme="minorHAnsi" w:cstheme="minorHAnsi"/>
          <w:sz w:val="22"/>
          <w:szCs w:val="22"/>
        </w:rPr>
        <w:t xml:space="preserve"> males and females.  </w:t>
      </w:r>
      <w:r w:rsidRPr="007033B0">
        <w:rPr>
          <w:rFonts w:asciiTheme="minorHAnsi" w:hAnsiTheme="minorHAnsi" w:cstheme="minorHAnsi"/>
          <w:sz w:val="22"/>
          <w:szCs w:val="22"/>
        </w:rPr>
        <w:t xml:space="preserve"> </w:t>
      </w:r>
    </w:p>
    <w:p w:rsidR="007033B0" w:rsidRPr="007033B0" w:rsidRDefault="007033B0" w:rsidP="007033B0">
      <w:pPr>
        <w:tabs>
          <w:tab w:val="left" w:pos="-180"/>
        </w:tabs>
        <w:suppressAutoHyphens/>
        <w:spacing w:line="276" w:lineRule="auto"/>
        <w:rPr>
          <w:rFonts w:asciiTheme="minorHAnsi" w:hAnsiTheme="minorHAnsi" w:cstheme="minorHAnsi"/>
          <w:sz w:val="16"/>
          <w:szCs w:val="16"/>
        </w:rPr>
      </w:pPr>
    </w:p>
    <w:p w:rsidR="00330BAF" w:rsidRDefault="00330BAF" w:rsidP="00042064">
      <w:pPr>
        <w:tabs>
          <w:tab w:val="left" w:pos="-180"/>
        </w:tabs>
        <w:suppressAutoHyphens/>
        <w:spacing w:after="120"/>
        <w:rPr>
          <w:rFonts w:asciiTheme="minorHAnsi" w:hAnsiTheme="minorHAnsi" w:cstheme="minorHAnsi"/>
          <w:b/>
          <w:color w:val="4F81BD" w:themeColor="accent1"/>
          <w:sz w:val="24"/>
          <w:szCs w:val="24"/>
        </w:rPr>
      </w:pPr>
      <w:r w:rsidRPr="00330BAF">
        <w:rPr>
          <w:rFonts w:asciiTheme="minorHAnsi" w:hAnsiTheme="minorHAnsi" w:cstheme="minorHAnsi"/>
          <w:b/>
          <w:noProof/>
          <w:color w:val="4F81BD" w:themeColor="accent1"/>
          <w:sz w:val="24"/>
          <w:szCs w:val="24"/>
          <w:lang w:val="en-IE" w:eastAsia="en-IE"/>
        </w:rPr>
        <w:drawing>
          <wp:inline distT="0" distB="0" distL="0" distR="0">
            <wp:extent cx="4324350" cy="1944000"/>
            <wp:effectExtent l="19050" t="0" r="0"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0F9F" w:rsidRDefault="0072036E"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 xml:space="preserve">Almost a third of those aged 75 and over (32%) thought that </w:t>
      </w:r>
      <w:r w:rsidR="004C2958">
        <w:rPr>
          <w:rFonts w:asciiTheme="minorHAnsi" w:hAnsiTheme="minorHAnsi" w:cstheme="minorHAnsi"/>
          <w:sz w:val="22"/>
          <w:szCs w:val="22"/>
        </w:rPr>
        <w:t>their health was worse than it was twelve months ago.  This compared with 8% of those aged 18 to 34.  Those aged 18-24 (17%) were twice as likely as those aged 75 and over (8%) to say that their health was better than twelve months ago.</w:t>
      </w:r>
    </w:p>
    <w:p w:rsidR="007033B0" w:rsidRPr="007033B0" w:rsidRDefault="007033B0" w:rsidP="007033B0">
      <w:pPr>
        <w:tabs>
          <w:tab w:val="left" w:pos="-180"/>
        </w:tabs>
        <w:suppressAutoHyphens/>
        <w:spacing w:line="276" w:lineRule="auto"/>
        <w:rPr>
          <w:rFonts w:asciiTheme="minorHAnsi" w:hAnsiTheme="minorHAnsi" w:cstheme="minorHAnsi"/>
          <w:sz w:val="16"/>
          <w:szCs w:val="16"/>
        </w:rPr>
      </w:pPr>
    </w:p>
    <w:p w:rsidR="00413174" w:rsidRDefault="007152C5" w:rsidP="00057794">
      <w:pPr>
        <w:tabs>
          <w:tab w:val="left" w:pos="-180"/>
        </w:tabs>
        <w:suppressAutoHyphens/>
        <w:spacing w:after="120"/>
        <w:rPr>
          <w:rFonts w:asciiTheme="minorHAnsi" w:hAnsiTheme="minorHAnsi" w:cstheme="minorHAnsi"/>
          <w:b/>
          <w:color w:val="4F81BD" w:themeColor="accent1"/>
          <w:sz w:val="24"/>
          <w:szCs w:val="24"/>
        </w:rPr>
      </w:pPr>
      <w:r w:rsidRPr="007152C5">
        <w:rPr>
          <w:rFonts w:asciiTheme="minorHAnsi" w:hAnsiTheme="minorHAnsi" w:cstheme="minorHAnsi"/>
          <w:b/>
          <w:noProof/>
          <w:color w:val="000000" w:themeColor="text1"/>
          <w:sz w:val="24"/>
          <w:szCs w:val="24"/>
          <w:lang w:val="en-IE" w:eastAsia="en-IE"/>
        </w:rPr>
        <w:drawing>
          <wp:inline distT="0" distB="0" distL="0" distR="0">
            <wp:extent cx="4324350" cy="2700000"/>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33B0" w:rsidRPr="007033B0" w:rsidRDefault="007033B0" w:rsidP="007033B0">
      <w:pPr>
        <w:tabs>
          <w:tab w:val="left" w:pos="-180"/>
        </w:tabs>
        <w:suppressAutoHyphens/>
        <w:spacing w:line="276" w:lineRule="auto"/>
        <w:rPr>
          <w:rFonts w:asciiTheme="minorHAnsi" w:hAnsiTheme="minorHAnsi" w:cstheme="minorHAnsi"/>
          <w:sz w:val="16"/>
          <w:szCs w:val="16"/>
        </w:rPr>
      </w:pPr>
    </w:p>
    <w:p w:rsidR="00413174" w:rsidRDefault="00330831"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 a fifth of those in the most deprived areas (22%) stated that their health was worse than twelve months ago.  This compared with 14% of those in the least deprived areas.  </w:t>
      </w:r>
    </w:p>
    <w:p w:rsidR="00330831" w:rsidRDefault="00712025"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The proportion of respondents that</w:t>
      </w:r>
      <w:r w:rsidR="00330831">
        <w:rPr>
          <w:rFonts w:asciiTheme="minorHAnsi" w:hAnsiTheme="minorHAnsi" w:cstheme="minorHAnsi"/>
          <w:sz w:val="22"/>
          <w:szCs w:val="22"/>
        </w:rPr>
        <w:t xml:space="preserve"> stated that their health was</w:t>
      </w:r>
      <w:r>
        <w:rPr>
          <w:rFonts w:asciiTheme="minorHAnsi" w:hAnsiTheme="minorHAnsi" w:cstheme="minorHAnsi"/>
          <w:sz w:val="22"/>
          <w:szCs w:val="22"/>
        </w:rPr>
        <w:t xml:space="preserve"> worse than twelve months ago, </w:t>
      </w:r>
      <w:r w:rsidR="00330831">
        <w:rPr>
          <w:rFonts w:asciiTheme="minorHAnsi" w:hAnsiTheme="minorHAnsi" w:cstheme="minorHAnsi"/>
          <w:sz w:val="22"/>
          <w:szCs w:val="22"/>
        </w:rPr>
        <w:t>r</w:t>
      </w:r>
      <w:r>
        <w:rPr>
          <w:rFonts w:asciiTheme="minorHAnsi" w:hAnsiTheme="minorHAnsi" w:cstheme="minorHAnsi"/>
          <w:sz w:val="22"/>
          <w:szCs w:val="22"/>
        </w:rPr>
        <w:t>ang</w:t>
      </w:r>
      <w:r w:rsidR="00330831">
        <w:rPr>
          <w:rFonts w:asciiTheme="minorHAnsi" w:hAnsiTheme="minorHAnsi" w:cstheme="minorHAnsi"/>
          <w:sz w:val="22"/>
          <w:szCs w:val="22"/>
        </w:rPr>
        <w:t xml:space="preserve">ed </w:t>
      </w:r>
      <w:r>
        <w:rPr>
          <w:rFonts w:asciiTheme="minorHAnsi" w:hAnsiTheme="minorHAnsi" w:cstheme="minorHAnsi"/>
          <w:sz w:val="22"/>
          <w:szCs w:val="22"/>
        </w:rPr>
        <w:t>from 20%</w:t>
      </w:r>
      <w:r w:rsidR="00330831">
        <w:rPr>
          <w:rFonts w:asciiTheme="minorHAnsi" w:hAnsiTheme="minorHAnsi" w:cstheme="minorHAnsi"/>
          <w:sz w:val="22"/>
          <w:szCs w:val="22"/>
        </w:rPr>
        <w:t xml:space="preserve"> </w:t>
      </w:r>
      <w:r>
        <w:rPr>
          <w:rFonts w:asciiTheme="minorHAnsi" w:hAnsiTheme="minorHAnsi" w:cstheme="minorHAnsi"/>
          <w:sz w:val="22"/>
          <w:szCs w:val="22"/>
        </w:rPr>
        <w:t xml:space="preserve">in the Belfast Trust area to </w:t>
      </w:r>
      <w:r w:rsidR="00330831">
        <w:rPr>
          <w:rFonts w:asciiTheme="minorHAnsi" w:hAnsiTheme="minorHAnsi" w:cstheme="minorHAnsi"/>
          <w:sz w:val="22"/>
          <w:szCs w:val="22"/>
        </w:rPr>
        <w:t xml:space="preserve">14% in the South Eastern Trust area.  </w:t>
      </w:r>
    </w:p>
    <w:p w:rsidR="00330831" w:rsidRDefault="00F1199C"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w:t>
      </w:r>
      <w:r w:rsidR="00330831">
        <w:rPr>
          <w:rFonts w:asciiTheme="minorHAnsi" w:hAnsiTheme="minorHAnsi" w:cstheme="minorHAnsi"/>
          <w:sz w:val="22"/>
          <w:szCs w:val="22"/>
        </w:rPr>
        <w:t xml:space="preserve"> a fifth</w:t>
      </w:r>
      <w:r w:rsidR="00712025">
        <w:rPr>
          <w:rFonts w:asciiTheme="minorHAnsi" w:hAnsiTheme="minorHAnsi" w:cstheme="minorHAnsi"/>
          <w:sz w:val="22"/>
          <w:szCs w:val="22"/>
        </w:rPr>
        <w:t xml:space="preserve"> of respondents</w:t>
      </w:r>
      <w:r w:rsidR="00330831">
        <w:rPr>
          <w:rFonts w:asciiTheme="minorHAnsi" w:hAnsiTheme="minorHAnsi" w:cstheme="minorHAnsi"/>
          <w:sz w:val="22"/>
          <w:szCs w:val="22"/>
        </w:rPr>
        <w:t xml:space="preserve"> living in urban areas (18%) stated that their health w</w:t>
      </w:r>
      <w:r w:rsidR="00712025">
        <w:rPr>
          <w:rFonts w:asciiTheme="minorHAnsi" w:hAnsiTheme="minorHAnsi" w:cstheme="minorHAnsi"/>
          <w:sz w:val="22"/>
          <w:szCs w:val="22"/>
        </w:rPr>
        <w:t>as worse than twelve months ago.  This</w:t>
      </w:r>
      <w:r w:rsidR="00330831">
        <w:rPr>
          <w:rFonts w:asciiTheme="minorHAnsi" w:hAnsiTheme="minorHAnsi" w:cstheme="minorHAnsi"/>
          <w:sz w:val="22"/>
          <w:szCs w:val="22"/>
        </w:rPr>
        <w:t xml:space="preserve"> compared with 13% in rural areas.  </w:t>
      </w:r>
    </w:p>
    <w:p w:rsidR="007033B0" w:rsidRDefault="007033B0" w:rsidP="0040507D">
      <w:pPr>
        <w:tabs>
          <w:tab w:val="left" w:pos="-180"/>
        </w:tabs>
        <w:suppressAutoHyphens/>
        <w:spacing w:after="120"/>
        <w:rPr>
          <w:rFonts w:asciiTheme="minorHAnsi" w:hAnsiTheme="minorHAnsi" w:cstheme="minorHAnsi"/>
          <w:b/>
          <w:color w:val="4F81BD" w:themeColor="accent1"/>
          <w:sz w:val="24"/>
          <w:szCs w:val="24"/>
        </w:rPr>
      </w:pPr>
    </w:p>
    <w:p w:rsidR="00CF6CC6" w:rsidRPr="0040507D" w:rsidRDefault="00CF6CC6" w:rsidP="0040507D">
      <w:pPr>
        <w:tabs>
          <w:tab w:val="left" w:pos="-180"/>
        </w:tabs>
        <w:suppressAutoHyphens/>
        <w:spacing w:after="120"/>
        <w:rPr>
          <w:rFonts w:asciiTheme="minorHAnsi" w:hAnsiTheme="minorHAnsi" w:cstheme="minorHAnsi"/>
          <w:b/>
          <w:color w:val="4F81BD" w:themeColor="accent1"/>
          <w:sz w:val="24"/>
          <w:szCs w:val="24"/>
        </w:rPr>
      </w:pPr>
      <w:r w:rsidRPr="0040507D">
        <w:rPr>
          <w:rFonts w:asciiTheme="minorHAnsi" w:hAnsiTheme="minorHAnsi" w:cstheme="minorHAnsi"/>
          <w:b/>
          <w:color w:val="4F81BD" w:themeColor="accent1"/>
          <w:sz w:val="24"/>
          <w:szCs w:val="24"/>
        </w:rPr>
        <w:lastRenderedPageBreak/>
        <w:t>Satisfaction with life</w:t>
      </w:r>
    </w:p>
    <w:p w:rsidR="00CF6CC6" w:rsidRDefault="00CF6CC6"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The majority of respondents (87%) were satisfied with their life with just 5% stating that they were dissatisfied.</w:t>
      </w:r>
    </w:p>
    <w:p w:rsidR="00CF6CC6" w:rsidRDefault="00CF6CC6"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There was little difference between males and females across age groups and urban and rural areas.</w:t>
      </w:r>
    </w:p>
    <w:p w:rsidR="00CF6CC6" w:rsidRPr="005E7567" w:rsidRDefault="00CF6CC6" w:rsidP="0040507D">
      <w:pPr>
        <w:tabs>
          <w:tab w:val="left" w:pos="-180"/>
        </w:tabs>
        <w:suppressAutoHyphens/>
        <w:spacing w:after="120" w:line="288" w:lineRule="auto"/>
        <w:rPr>
          <w:rFonts w:asciiTheme="minorHAnsi" w:hAnsiTheme="minorHAnsi" w:cstheme="minorHAnsi"/>
          <w:sz w:val="22"/>
          <w:szCs w:val="22"/>
        </w:rPr>
      </w:pPr>
      <w:bookmarkStart w:id="10" w:name="OLE_LINK18"/>
      <w:bookmarkStart w:id="11" w:name="OLE_LINK19"/>
      <w:r>
        <w:rPr>
          <w:rFonts w:asciiTheme="minorHAnsi" w:hAnsiTheme="minorHAnsi" w:cstheme="minorHAnsi"/>
          <w:sz w:val="22"/>
          <w:szCs w:val="22"/>
        </w:rPr>
        <w:t xml:space="preserve">A lower proportion of </w:t>
      </w:r>
      <w:bookmarkEnd w:id="10"/>
      <w:bookmarkEnd w:id="11"/>
      <w:r>
        <w:rPr>
          <w:rFonts w:asciiTheme="minorHAnsi" w:hAnsiTheme="minorHAnsi" w:cstheme="minorHAnsi"/>
          <w:sz w:val="22"/>
          <w:szCs w:val="22"/>
        </w:rPr>
        <w:t xml:space="preserve">those in the Belfast Trust were satisfied with life than in the other Trust areas.  </w:t>
      </w:r>
      <w:r w:rsidR="00F1199C">
        <w:rPr>
          <w:rFonts w:asciiTheme="minorHAnsi" w:hAnsiTheme="minorHAnsi" w:cstheme="minorHAnsi"/>
          <w:sz w:val="22"/>
          <w:szCs w:val="22"/>
        </w:rPr>
        <w:t xml:space="preserve">The </w:t>
      </w:r>
      <w:r>
        <w:rPr>
          <w:rFonts w:asciiTheme="minorHAnsi" w:hAnsiTheme="minorHAnsi" w:cstheme="minorHAnsi"/>
          <w:sz w:val="22"/>
          <w:szCs w:val="22"/>
        </w:rPr>
        <w:t>proportion of those living in the most deprived areas (80%)</w:t>
      </w:r>
      <w:r w:rsidR="00F1199C">
        <w:rPr>
          <w:rFonts w:asciiTheme="minorHAnsi" w:hAnsiTheme="minorHAnsi" w:cstheme="minorHAnsi"/>
          <w:sz w:val="22"/>
          <w:szCs w:val="22"/>
        </w:rPr>
        <w:t xml:space="preserve"> that</w:t>
      </w:r>
      <w:r>
        <w:rPr>
          <w:rFonts w:asciiTheme="minorHAnsi" w:hAnsiTheme="minorHAnsi" w:cstheme="minorHAnsi"/>
          <w:sz w:val="22"/>
          <w:szCs w:val="22"/>
        </w:rPr>
        <w:t xml:space="preserve"> were satisfied with life</w:t>
      </w:r>
      <w:r w:rsidR="00F1199C">
        <w:rPr>
          <w:rFonts w:asciiTheme="minorHAnsi" w:hAnsiTheme="minorHAnsi" w:cstheme="minorHAnsi"/>
          <w:sz w:val="22"/>
          <w:szCs w:val="22"/>
        </w:rPr>
        <w:t xml:space="preserve"> was</w:t>
      </w:r>
      <w:r>
        <w:rPr>
          <w:rFonts w:asciiTheme="minorHAnsi" w:hAnsiTheme="minorHAnsi" w:cstheme="minorHAnsi"/>
          <w:sz w:val="22"/>
          <w:szCs w:val="22"/>
        </w:rPr>
        <w:t xml:space="preserve"> </w:t>
      </w:r>
      <w:r w:rsidR="00F1199C">
        <w:rPr>
          <w:rFonts w:asciiTheme="minorHAnsi" w:hAnsiTheme="minorHAnsi" w:cstheme="minorHAnsi"/>
          <w:sz w:val="22"/>
          <w:szCs w:val="22"/>
        </w:rPr>
        <w:t xml:space="preserve">lower </w:t>
      </w:r>
      <w:r>
        <w:rPr>
          <w:rFonts w:asciiTheme="minorHAnsi" w:hAnsiTheme="minorHAnsi" w:cstheme="minorHAnsi"/>
          <w:sz w:val="22"/>
          <w:szCs w:val="22"/>
        </w:rPr>
        <w:t>than in the least deprived areas (92%).</w:t>
      </w:r>
    </w:p>
    <w:p w:rsidR="00A513BC" w:rsidRPr="0040507D" w:rsidRDefault="00A513BC" w:rsidP="007033B0">
      <w:pPr>
        <w:tabs>
          <w:tab w:val="left" w:pos="-180"/>
        </w:tabs>
        <w:suppressAutoHyphens/>
        <w:spacing w:before="240" w:after="120"/>
        <w:rPr>
          <w:rFonts w:asciiTheme="minorHAnsi" w:hAnsiTheme="minorHAnsi" w:cstheme="minorHAnsi"/>
          <w:b/>
          <w:color w:val="4F81BD" w:themeColor="accent1"/>
          <w:sz w:val="24"/>
          <w:szCs w:val="24"/>
        </w:rPr>
      </w:pPr>
      <w:r w:rsidRPr="0040507D">
        <w:rPr>
          <w:rFonts w:asciiTheme="minorHAnsi" w:hAnsiTheme="minorHAnsi" w:cstheme="minorHAnsi"/>
          <w:b/>
          <w:color w:val="4F81BD" w:themeColor="accent1"/>
          <w:sz w:val="24"/>
          <w:szCs w:val="24"/>
        </w:rPr>
        <w:t>High Blood Pressure</w:t>
      </w:r>
    </w:p>
    <w:p w:rsidR="004C683D" w:rsidRDefault="00A513BC"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One-quarter of respondents (27%) reported that they </w:t>
      </w:r>
      <w:r w:rsidR="007F1207">
        <w:rPr>
          <w:rFonts w:asciiTheme="minorHAnsi" w:hAnsiTheme="minorHAnsi" w:cstheme="minorHAnsi"/>
          <w:sz w:val="22"/>
          <w:szCs w:val="22"/>
        </w:rPr>
        <w:t xml:space="preserve">ever </w:t>
      </w:r>
      <w:r>
        <w:rPr>
          <w:rFonts w:asciiTheme="minorHAnsi" w:hAnsiTheme="minorHAnsi" w:cstheme="minorHAnsi"/>
          <w:sz w:val="22"/>
          <w:szCs w:val="22"/>
        </w:rPr>
        <w:t xml:space="preserve">had high blood pressure.   </w:t>
      </w:r>
      <w:r w:rsidR="00A643BE">
        <w:rPr>
          <w:rFonts w:asciiTheme="minorHAnsi" w:hAnsiTheme="minorHAnsi" w:cstheme="minorHAnsi"/>
          <w:sz w:val="22"/>
          <w:szCs w:val="22"/>
        </w:rPr>
        <w:t xml:space="preserve">A small proportion </w:t>
      </w:r>
      <w:r w:rsidR="00144017">
        <w:rPr>
          <w:rFonts w:asciiTheme="minorHAnsi" w:hAnsiTheme="minorHAnsi" w:cstheme="minorHAnsi"/>
          <w:sz w:val="22"/>
          <w:szCs w:val="22"/>
        </w:rPr>
        <w:t xml:space="preserve">of all females </w:t>
      </w:r>
      <w:r w:rsidR="00A643BE">
        <w:rPr>
          <w:rFonts w:asciiTheme="minorHAnsi" w:hAnsiTheme="minorHAnsi" w:cstheme="minorHAnsi"/>
          <w:sz w:val="22"/>
          <w:szCs w:val="22"/>
        </w:rPr>
        <w:t xml:space="preserve">(4%) </w:t>
      </w:r>
      <w:r w:rsidR="00144017">
        <w:rPr>
          <w:rFonts w:asciiTheme="minorHAnsi" w:hAnsiTheme="minorHAnsi" w:cstheme="minorHAnsi"/>
          <w:sz w:val="22"/>
          <w:szCs w:val="22"/>
        </w:rPr>
        <w:t xml:space="preserve">reported that they had been told they had high blood pressure during pregnancy only.  </w:t>
      </w:r>
      <w:r w:rsidR="00F1199C">
        <w:rPr>
          <w:rFonts w:asciiTheme="minorHAnsi" w:hAnsiTheme="minorHAnsi" w:cstheme="minorHAnsi"/>
          <w:sz w:val="22"/>
          <w:szCs w:val="22"/>
        </w:rPr>
        <w:t xml:space="preserve">The probability </w:t>
      </w:r>
      <w:r w:rsidR="00144017">
        <w:rPr>
          <w:rFonts w:asciiTheme="minorHAnsi" w:hAnsiTheme="minorHAnsi" w:cstheme="minorHAnsi"/>
          <w:sz w:val="22"/>
          <w:szCs w:val="22"/>
        </w:rPr>
        <w:t xml:space="preserve">of </w:t>
      </w:r>
      <w:r w:rsidR="00F1199C">
        <w:rPr>
          <w:rFonts w:asciiTheme="minorHAnsi" w:hAnsiTheme="minorHAnsi" w:cstheme="minorHAnsi"/>
          <w:sz w:val="22"/>
          <w:szCs w:val="22"/>
        </w:rPr>
        <w:t xml:space="preserve">ever having had </w:t>
      </w:r>
      <w:r w:rsidR="00144017">
        <w:rPr>
          <w:rFonts w:asciiTheme="minorHAnsi" w:hAnsiTheme="minorHAnsi" w:cstheme="minorHAnsi"/>
          <w:sz w:val="22"/>
          <w:szCs w:val="22"/>
        </w:rPr>
        <w:t xml:space="preserve">high blood pressure increased with age from 6% of 16-24 year olds to 56% of those aged 75 and over. </w:t>
      </w:r>
    </w:p>
    <w:p w:rsidR="00FE6715" w:rsidRDefault="00144017" w:rsidP="00FE6715">
      <w:pPr>
        <w:tabs>
          <w:tab w:val="left" w:pos="-180"/>
        </w:tabs>
        <w:suppressAutoHyphens/>
        <w:spacing w:before="240" w:after="120" w:line="288" w:lineRule="auto"/>
        <w:rPr>
          <w:rFonts w:asciiTheme="minorHAnsi" w:hAnsiTheme="minorHAnsi" w:cstheme="minorHAnsi"/>
          <w:b/>
          <w:color w:val="4F81BD" w:themeColor="accent1"/>
          <w:sz w:val="24"/>
          <w:szCs w:val="24"/>
        </w:rPr>
      </w:pPr>
      <w:r w:rsidRPr="00144017">
        <w:rPr>
          <w:rFonts w:asciiTheme="minorHAnsi" w:hAnsiTheme="minorHAnsi" w:cstheme="minorHAnsi"/>
          <w:noProof/>
          <w:sz w:val="22"/>
          <w:szCs w:val="22"/>
          <w:lang w:val="en-IE" w:eastAsia="en-IE"/>
        </w:rPr>
        <w:drawing>
          <wp:inline distT="0" distB="0" distL="0" distR="0">
            <wp:extent cx="4324350" cy="2088000"/>
            <wp:effectExtent l="19050" t="0" r="0" b="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heme="minorHAnsi" w:hAnsiTheme="minorHAnsi" w:cstheme="minorHAnsi"/>
          <w:sz w:val="22"/>
          <w:szCs w:val="22"/>
        </w:rPr>
        <w:t xml:space="preserve">Two-thirds of those who reported </w:t>
      </w:r>
      <w:r w:rsidR="007F1207">
        <w:rPr>
          <w:rFonts w:asciiTheme="minorHAnsi" w:hAnsiTheme="minorHAnsi" w:cstheme="minorHAnsi"/>
          <w:sz w:val="22"/>
          <w:szCs w:val="22"/>
        </w:rPr>
        <w:t xml:space="preserve">having had </w:t>
      </w:r>
      <w:r>
        <w:rPr>
          <w:rFonts w:asciiTheme="minorHAnsi" w:hAnsiTheme="minorHAnsi" w:cstheme="minorHAnsi"/>
          <w:sz w:val="22"/>
          <w:szCs w:val="22"/>
        </w:rPr>
        <w:t xml:space="preserve">high blood pressure </w:t>
      </w:r>
      <w:r w:rsidR="007F1207">
        <w:rPr>
          <w:rFonts w:asciiTheme="minorHAnsi" w:hAnsiTheme="minorHAnsi" w:cstheme="minorHAnsi"/>
          <w:sz w:val="22"/>
          <w:szCs w:val="22"/>
        </w:rPr>
        <w:t xml:space="preserve">(63%) </w:t>
      </w:r>
      <w:r>
        <w:rPr>
          <w:rFonts w:asciiTheme="minorHAnsi" w:hAnsiTheme="minorHAnsi" w:cstheme="minorHAnsi"/>
          <w:sz w:val="22"/>
          <w:szCs w:val="22"/>
        </w:rPr>
        <w:t>said they currently took medication for their condition while one-third (31%) said that they no longer had high blood pressure</w:t>
      </w:r>
      <w:r w:rsidR="00FE6715">
        <w:rPr>
          <w:rFonts w:asciiTheme="minorHAnsi" w:hAnsiTheme="minorHAnsi" w:cstheme="minorHAnsi"/>
          <w:sz w:val="22"/>
          <w:szCs w:val="22"/>
        </w:rPr>
        <w:t>.</w:t>
      </w:r>
      <w:r w:rsidR="00FE6715" w:rsidRPr="00FE6715">
        <w:rPr>
          <w:rFonts w:asciiTheme="minorHAnsi" w:hAnsiTheme="minorHAnsi" w:cstheme="minorHAnsi"/>
          <w:b/>
          <w:color w:val="4F81BD" w:themeColor="accent1"/>
          <w:sz w:val="24"/>
          <w:szCs w:val="24"/>
        </w:rPr>
        <w:t xml:space="preserve"> </w:t>
      </w:r>
    </w:p>
    <w:p w:rsidR="00FE6715" w:rsidRPr="009F2918" w:rsidRDefault="00FE6715" w:rsidP="00FE6715">
      <w:pPr>
        <w:tabs>
          <w:tab w:val="left" w:pos="-180"/>
        </w:tabs>
        <w:suppressAutoHyphens/>
        <w:spacing w:before="240" w:after="120"/>
        <w:rPr>
          <w:rFonts w:asciiTheme="minorHAnsi" w:hAnsiTheme="minorHAnsi" w:cstheme="minorHAnsi"/>
          <w:b/>
          <w:color w:val="4F81BD" w:themeColor="accent1"/>
          <w:sz w:val="24"/>
          <w:szCs w:val="24"/>
        </w:rPr>
      </w:pPr>
      <w:r w:rsidRPr="009F2918">
        <w:rPr>
          <w:rFonts w:asciiTheme="minorHAnsi" w:hAnsiTheme="minorHAnsi" w:cstheme="minorHAnsi"/>
          <w:b/>
          <w:color w:val="4F81BD" w:themeColor="accent1"/>
          <w:sz w:val="24"/>
          <w:szCs w:val="24"/>
        </w:rPr>
        <w:lastRenderedPageBreak/>
        <w:t>Informal Caring for sick, disabled or elderly person</w:t>
      </w:r>
    </w:p>
    <w:p w:rsidR="00FE6715" w:rsidRPr="009E3D07" w:rsidRDefault="00FE6715" w:rsidP="00FE671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w:t>
      </w:r>
      <w:r w:rsidRPr="009E3D07">
        <w:rPr>
          <w:rFonts w:asciiTheme="minorHAnsi" w:hAnsiTheme="minorHAnsi" w:cstheme="minorHAnsi"/>
          <w:sz w:val="22"/>
          <w:szCs w:val="22"/>
        </w:rPr>
        <w:t xml:space="preserve"> 15% of respondents said that they cared for someone informally, with females (17%) more likely to do so than males (13%).  Females (45%) were also more likely to care for someone for more than twenty hours per week than males (37%).  </w:t>
      </w:r>
    </w:p>
    <w:p w:rsidR="00FE6715" w:rsidRDefault="00FE6715" w:rsidP="00FE671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a quarter of those in the 45-54 age-group (23%) had caring responsibilities compared with 7% of those aged 16-24.</w:t>
      </w:r>
    </w:p>
    <w:p w:rsidR="00FE6715" w:rsidRDefault="00FE6715" w:rsidP="00FE671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Three-quarters of those aged 75 and over (74%) cared for someone for more than 20 hours per week compared with a quarter of those aged 16-24 (24%).</w:t>
      </w:r>
    </w:p>
    <w:p w:rsidR="004E4952" w:rsidRDefault="004E4952" w:rsidP="00FE6715">
      <w:pPr>
        <w:tabs>
          <w:tab w:val="left" w:pos="-180"/>
        </w:tabs>
        <w:suppressAutoHyphens/>
        <w:spacing w:after="120" w:line="288" w:lineRule="auto"/>
        <w:rPr>
          <w:rFonts w:asciiTheme="minorHAnsi" w:hAnsiTheme="minorHAnsi" w:cstheme="minorHAnsi"/>
          <w:sz w:val="22"/>
          <w:szCs w:val="22"/>
        </w:rPr>
      </w:pPr>
      <w:r w:rsidRPr="004E4952">
        <w:rPr>
          <w:rFonts w:asciiTheme="minorHAnsi" w:hAnsiTheme="minorHAnsi" w:cstheme="minorHAnsi"/>
          <w:noProof/>
          <w:sz w:val="22"/>
          <w:szCs w:val="22"/>
          <w:lang w:val="en-IE" w:eastAsia="en-IE"/>
        </w:rPr>
        <w:drawing>
          <wp:inline distT="0" distB="0" distL="0" distR="0">
            <wp:extent cx="4324350" cy="2700000"/>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4952" w:rsidRDefault="004E4952" w:rsidP="004A1134">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 xml:space="preserve">Those respondents who cared for someone informally for more than 20 hours per week were less likely to describe their own health as </w:t>
      </w:r>
      <w:r w:rsidR="004A1134">
        <w:rPr>
          <w:rFonts w:asciiTheme="minorHAnsi" w:hAnsiTheme="minorHAnsi" w:cstheme="minorHAnsi"/>
          <w:sz w:val="22"/>
          <w:szCs w:val="22"/>
        </w:rPr>
        <w:t>very good or good (63%) than those who did not care for someone informally (73%).</w:t>
      </w:r>
    </w:p>
    <w:p w:rsidR="004E4952" w:rsidRPr="009E3D07" w:rsidRDefault="004E4952" w:rsidP="00FE6715">
      <w:pPr>
        <w:tabs>
          <w:tab w:val="left" w:pos="-180"/>
        </w:tabs>
        <w:suppressAutoHyphens/>
        <w:spacing w:after="120" w:line="288" w:lineRule="auto"/>
        <w:rPr>
          <w:rFonts w:asciiTheme="minorHAnsi" w:hAnsiTheme="minorHAnsi" w:cstheme="minorHAnsi"/>
          <w:sz w:val="22"/>
          <w:szCs w:val="22"/>
        </w:rPr>
      </w:pPr>
      <w:r w:rsidRPr="004E4952">
        <w:rPr>
          <w:rFonts w:asciiTheme="minorHAnsi" w:hAnsiTheme="minorHAnsi" w:cstheme="minorHAnsi"/>
          <w:noProof/>
          <w:sz w:val="22"/>
          <w:szCs w:val="22"/>
          <w:lang w:val="en-IE" w:eastAsia="en-IE"/>
        </w:rPr>
        <w:lastRenderedPageBreak/>
        <w:drawing>
          <wp:inline distT="0" distB="0" distL="0" distR="0">
            <wp:extent cx="4410075" cy="2646045"/>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6715" w:rsidRDefault="00FE6715" w:rsidP="00FE6715">
      <w:pPr>
        <w:tabs>
          <w:tab w:val="left" w:pos="-180"/>
        </w:tabs>
        <w:suppressAutoHyphens/>
        <w:spacing w:before="240" w:after="60"/>
        <w:rPr>
          <w:rFonts w:asciiTheme="minorHAnsi" w:hAnsiTheme="minorHAnsi" w:cstheme="minorHAnsi"/>
          <w:b/>
          <w:color w:val="4F81BD" w:themeColor="accent1"/>
          <w:sz w:val="22"/>
          <w:szCs w:val="22"/>
        </w:rPr>
      </w:pPr>
    </w:p>
    <w:p w:rsidR="00FE6715" w:rsidRDefault="00FE6715" w:rsidP="00FE6715">
      <w:pPr>
        <w:pStyle w:val="Heading2"/>
        <w:spacing w:before="0" w:after="60"/>
        <w:rPr>
          <w:rFonts w:asciiTheme="minorHAnsi" w:hAnsiTheme="minorHAnsi" w:cstheme="minorHAnsi"/>
          <w:sz w:val="24"/>
          <w:szCs w:val="24"/>
        </w:rPr>
        <w:sectPr w:rsidR="00FE6715" w:rsidSect="00F3746F">
          <w:pgSz w:w="16838" w:h="11906" w:orient="landscape"/>
          <w:pgMar w:top="737" w:right="1247" w:bottom="737" w:left="1247" w:header="454" w:footer="567" w:gutter="0"/>
          <w:cols w:num="2" w:space="454"/>
          <w:docGrid w:linePitch="360"/>
        </w:sectPr>
      </w:pPr>
    </w:p>
    <w:p w:rsidR="00144017" w:rsidRDefault="00144017" w:rsidP="0040507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w:t>
      </w:r>
    </w:p>
    <w:p w:rsidR="00FE6715" w:rsidRDefault="00FE6715" w:rsidP="0040507D">
      <w:pPr>
        <w:tabs>
          <w:tab w:val="left" w:pos="-180"/>
        </w:tabs>
        <w:suppressAutoHyphens/>
        <w:spacing w:after="120" w:line="288" w:lineRule="auto"/>
        <w:rPr>
          <w:rFonts w:asciiTheme="minorHAnsi" w:hAnsiTheme="minorHAnsi" w:cstheme="minorHAnsi"/>
          <w:sz w:val="22"/>
          <w:szCs w:val="22"/>
        </w:rPr>
      </w:pPr>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3D5F44" w:rsidTr="008669BB">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AFFFFF"/>
            </w:tcBorders>
            <w:shd w:val="clear" w:color="auto" w:fill="009999"/>
            <w:textDirection w:val="btLr"/>
          </w:tcPr>
          <w:p w:rsidR="003D5F44" w:rsidRPr="008669BB" w:rsidRDefault="003D5F44" w:rsidP="007354C0">
            <w:pPr>
              <w:pStyle w:val="Heading2"/>
              <w:spacing w:before="0" w:after="60"/>
              <w:ind w:left="113" w:right="113"/>
              <w:jc w:val="center"/>
              <w:outlineLvl w:val="1"/>
              <w:rPr>
                <w:rFonts w:ascii="Calibri" w:hAnsi="Calibri" w:cs="Calibri"/>
                <w:i/>
                <w:color w:val="C1FFFF"/>
                <w:sz w:val="72"/>
                <w:szCs w:val="72"/>
              </w:rPr>
            </w:pPr>
            <w:bookmarkStart w:id="12" w:name="_Ref382555516"/>
            <w:bookmarkStart w:id="13" w:name="_Ref381945768"/>
            <w:r w:rsidRPr="008669BB">
              <w:rPr>
                <w:rFonts w:ascii="Calibri" w:hAnsi="Calibri" w:cs="Calibri"/>
                <w:i/>
                <w:color w:val="C1FFFF"/>
                <w:sz w:val="72"/>
                <w:szCs w:val="72"/>
              </w:rPr>
              <w:t>Medical Conditions &amp; Illnesses</w:t>
            </w:r>
            <w:bookmarkEnd w:id="12"/>
          </w:p>
        </w:tc>
        <w:tc>
          <w:tcPr>
            <w:tcW w:w="5977" w:type="dxa"/>
            <w:tcBorders>
              <w:top w:val="nil"/>
              <w:left w:val="thinThickSmallGap" w:sz="24" w:space="0" w:color="AFFFFF"/>
              <w:bottom w:val="nil"/>
              <w:right w:val="nil"/>
            </w:tcBorders>
            <w:shd w:val="clear" w:color="auto" w:fill="009999"/>
            <w:vAlign w:val="center"/>
          </w:tcPr>
          <w:p w:rsidR="003D5F44" w:rsidRPr="00DC2342" w:rsidRDefault="003D5F4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3D5F44" w:rsidTr="008669BB">
        <w:trPr>
          <w:cantSplit/>
          <w:trHeight w:val="1928"/>
        </w:trPr>
        <w:tc>
          <w:tcPr>
            <w:tcW w:w="1184" w:type="dxa"/>
            <w:vMerge/>
            <w:tcBorders>
              <w:left w:val="single" w:sz="4" w:space="0" w:color="95B3D7" w:themeColor="accent1" w:themeTint="99"/>
              <w:right w:val="thinThickSmallGap" w:sz="24" w:space="0" w:color="AFFFFF"/>
            </w:tcBorders>
            <w:shd w:val="clear" w:color="auto" w:fill="009999"/>
          </w:tcPr>
          <w:p w:rsidR="003D5F44" w:rsidRPr="006F13A2" w:rsidRDefault="003D5F44" w:rsidP="003D5F44">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AFFFFF"/>
              <w:bottom w:val="nil"/>
              <w:right w:val="nil"/>
            </w:tcBorders>
            <w:shd w:val="clear" w:color="auto" w:fill="009999"/>
            <w:vAlign w:val="center"/>
          </w:tcPr>
          <w:p w:rsidR="003D5F44" w:rsidRPr="00DC2342" w:rsidRDefault="003D5F4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Medical conditions</w:t>
            </w:r>
          </w:p>
        </w:tc>
      </w:tr>
      <w:tr w:rsidR="003D5F44" w:rsidTr="008669BB">
        <w:trPr>
          <w:cantSplit/>
          <w:trHeight w:val="1928"/>
        </w:trPr>
        <w:tc>
          <w:tcPr>
            <w:tcW w:w="1184" w:type="dxa"/>
            <w:vMerge/>
            <w:tcBorders>
              <w:left w:val="single" w:sz="4" w:space="0" w:color="95B3D7" w:themeColor="accent1" w:themeTint="99"/>
              <w:right w:val="thinThickSmallGap" w:sz="24" w:space="0" w:color="AFFFFF"/>
            </w:tcBorders>
            <w:shd w:val="clear" w:color="auto" w:fill="009999"/>
          </w:tcPr>
          <w:p w:rsidR="003D5F44" w:rsidRPr="006F13A2" w:rsidRDefault="003D5F44" w:rsidP="003D5F44">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AFFFFF"/>
              <w:bottom w:val="nil"/>
              <w:right w:val="nil"/>
            </w:tcBorders>
            <w:shd w:val="clear" w:color="auto" w:fill="009999"/>
            <w:vAlign w:val="center"/>
          </w:tcPr>
          <w:p w:rsidR="003D5F44" w:rsidRPr="00DC2342" w:rsidRDefault="003D5F44" w:rsidP="003D5F4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Longstanding illness</w:t>
            </w:r>
          </w:p>
        </w:tc>
      </w:tr>
      <w:tr w:rsidR="003D5F44" w:rsidTr="008669BB">
        <w:trPr>
          <w:cantSplit/>
          <w:trHeight w:val="1928"/>
        </w:trPr>
        <w:tc>
          <w:tcPr>
            <w:tcW w:w="1184" w:type="dxa"/>
            <w:vMerge/>
            <w:tcBorders>
              <w:left w:val="single" w:sz="4" w:space="0" w:color="95B3D7" w:themeColor="accent1" w:themeTint="99"/>
              <w:right w:val="thinThickSmallGap" w:sz="24" w:space="0" w:color="AFFFFF"/>
            </w:tcBorders>
            <w:shd w:val="clear" w:color="auto" w:fill="009999"/>
          </w:tcPr>
          <w:p w:rsidR="003D5F44" w:rsidRPr="006F13A2" w:rsidRDefault="003D5F44" w:rsidP="003D5F44">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AFFFFF"/>
              <w:bottom w:val="nil"/>
              <w:right w:val="nil"/>
            </w:tcBorders>
            <w:shd w:val="clear" w:color="auto" w:fill="009999"/>
            <w:vAlign w:val="center"/>
          </w:tcPr>
          <w:p w:rsidR="003D5F44" w:rsidRPr="00DC2342" w:rsidRDefault="003D5F44" w:rsidP="00CD08E3">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Self</w:t>
            </w:r>
            <w:r w:rsidR="00CD08E3">
              <w:rPr>
                <w:rFonts w:asciiTheme="minorHAnsi" w:hAnsiTheme="minorHAnsi" w:cstheme="minorHAnsi"/>
                <w:i/>
                <w:color w:val="FFFFFF" w:themeColor="background1"/>
                <w:sz w:val="28"/>
                <w:szCs w:val="28"/>
              </w:rPr>
              <w:t>-a</w:t>
            </w:r>
            <w:r>
              <w:rPr>
                <w:rFonts w:asciiTheme="minorHAnsi" w:hAnsiTheme="minorHAnsi" w:cstheme="minorHAnsi"/>
                <w:i/>
                <w:color w:val="FFFFFF" w:themeColor="background1"/>
                <w:sz w:val="28"/>
                <w:szCs w:val="28"/>
              </w:rPr>
              <w:t>ssess</w:t>
            </w:r>
            <w:r w:rsidR="00CD08E3">
              <w:rPr>
                <w:rFonts w:asciiTheme="minorHAnsi" w:hAnsiTheme="minorHAnsi" w:cstheme="minorHAnsi"/>
                <w:i/>
                <w:color w:val="FFFFFF" w:themeColor="background1"/>
                <w:sz w:val="28"/>
                <w:szCs w:val="28"/>
              </w:rPr>
              <w:t>ed</w:t>
            </w:r>
            <w:r>
              <w:rPr>
                <w:rFonts w:asciiTheme="minorHAnsi" w:hAnsiTheme="minorHAnsi" w:cstheme="minorHAnsi"/>
                <w:i/>
                <w:color w:val="FFFFFF" w:themeColor="background1"/>
                <w:sz w:val="28"/>
                <w:szCs w:val="28"/>
              </w:rPr>
              <w:t xml:space="preserve"> </w:t>
            </w:r>
            <w:r w:rsidR="00CD08E3">
              <w:rPr>
                <w:rFonts w:asciiTheme="minorHAnsi" w:hAnsiTheme="minorHAnsi" w:cstheme="minorHAnsi"/>
                <w:i/>
                <w:color w:val="FFFFFF" w:themeColor="background1"/>
                <w:sz w:val="28"/>
                <w:szCs w:val="28"/>
              </w:rPr>
              <w:t>h</w:t>
            </w:r>
            <w:r>
              <w:rPr>
                <w:rFonts w:asciiTheme="minorHAnsi" w:hAnsiTheme="minorHAnsi" w:cstheme="minorHAnsi"/>
                <w:i/>
                <w:color w:val="FFFFFF" w:themeColor="background1"/>
                <w:sz w:val="28"/>
                <w:szCs w:val="28"/>
              </w:rPr>
              <w:t xml:space="preserve">ealth </w:t>
            </w:r>
            <w:r w:rsidR="00CD08E3">
              <w:rPr>
                <w:rFonts w:asciiTheme="minorHAnsi" w:hAnsiTheme="minorHAnsi" w:cstheme="minorHAnsi"/>
                <w:i/>
                <w:color w:val="FFFFFF" w:themeColor="background1"/>
                <w:sz w:val="28"/>
                <w:szCs w:val="28"/>
              </w:rPr>
              <w:t>s</w:t>
            </w:r>
            <w:r>
              <w:rPr>
                <w:rFonts w:asciiTheme="minorHAnsi" w:hAnsiTheme="minorHAnsi" w:cstheme="minorHAnsi"/>
                <w:i/>
                <w:color w:val="FFFFFF" w:themeColor="background1"/>
                <w:sz w:val="28"/>
                <w:szCs w:val="28"/>
              </w:rPr>
              <w:t>tate</w:t>
            </w:r>
          </w:p>
        </w:tc>
      </w:tr>
      <w:tr w:rsidR="003D5F44" w:rsidTr="008669BB">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AFFFFF"/>
            </w:tcBorders>
            <w:shd w:val="clear" w:color="auto" w:fill="009999"/>
          </w:tcPr>
          <w:p w:rsidR="003D5F44" w:rsidRPr="006F13A2" w:rsidRDefault="003D5F44" w:rsidP="007354C0">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AFFFFF"/>
              <w:bottom w:val="nil"/>
              <w:right w:val="nil"/>
            </w:tcBorders>
            <w:shd w:val="clear" w:color="auto" w:fill="009999"/>
            <w:vAlign w:val="center"/>
          </w:tcPr>
          <w:p w:rsidR="003D5F44" w:rsidRPr="00DC2342" w:rsidRDefault="003D5F44" w:rsidP="007354C0">
            <w:pPr>
              <w:pStyle w:val="Heading2"/>
              <w:spacing w:before="0" w:after="60"/>
              <w:outlineLvl w:val="1"/>
              <w:rPr>
                <w:rFonts w:asciiTheme="minorHAnsi" w:hAnsiTheme="minorHAnsi" w:cstheme="minorHAnsi"/>
                <w:i/>
                <w:color w:val="FFFFFF" w:themeColor="background1"/>
                <w:sz w:val="28"/>
                <w:szCs w:val="28"/>
              </w:rPr>
            </w:pPr>
          </w:p>
        </w:tc>
      </w:tr>
    </w:tbl>
    <w:p w:rsidR="003D5F44" w:rsidRPr="00B55745" w:rsidRDefault="003D5F44" w:rsidP="003D5F44">
      <w:pPr>
        <w:rPr>
          <w:rFonts w:asciiTheme="minorHAnsi" w:hAnsiTheme="minorHAnsi" w:cstheme="minorHAnsi"/>
          <w:sz w:val="22"/>
          <w:szCs w:val="22"/>
        </w:rPr>
      </w:pPr>
    </w:p>
    <w:p w:rsidR="003D5F44" w:rsidRDefault="003D5F44" w:rsidP="003D5F44">
      <w:pPr>
        <w:rPr>
          <w:rFonts w:asciiTheme="minorHAnsi" w:hAnsiTheme="minorHAnsi" w:cstheme="minorHAnsi"/>
          <w:sz w:val="22"/>
          <w:szCs w:val="22"/>
        </w:rPr>
      </w:pPr>
    </w:p>
    <w:p w:rsidR="00E063AE" w:rsidRPr="00B55745" w:rsidRDefault="00E063AE" w:rsidP="003D5F44">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32"/>
        <w:gridCol w:w="1432"/>
        <w:gridCol w:w="1432"/>
        <w:gridCol w:w="1432"/>
        <w:gridCol w:w="1433"/>
      </w:tblGrid>
      <w:tr w:rsidR="003D5F44" w:rsidRPr="00B55745" w:rsidTr="00E063AE">
        <w:trPr>
          <w:trHeight w:val="1361"/>
        </w:trPr>
        <w:tc>
          <w:tcPr>
            <w:tcW w:w="2864" w:type="dxa"/>
            <w:gridSpan w:val="2"/>
            <w:tcBorders>
              <w:top w:val="nil"/>
              <w:left w:val="nil"/>
              <w:bottom w:val="nil"/>
              <w:right w:val="nil"/>
            </w:tcBorders>
            <w:shd w:val="clear" w:color="auto" w:fill="009999"/>
            <w:vAlign w:val="center"/>
          </w:tcPr>
          <w:p w:rsidR="003D5F44" w:rsidRPr="00E063AE" w:rsidRDefault="00E063AE" w:rsidP="000447D5">
            <w:pPr>
              <w:jc w:val="left"/>
              <w:rPr>
                <w:rFonts w:asciiTheme="minorHAnsi" w:hAnsiTheme="minorHAnsi" w:cstheme="minorHAnsi"/>
                <w:b/>
                <w:i/>
                <w:color w:val="FFFFFF" w:themeColor="background1"/>
                <w:sz w:val="24"/>
                <w:szCs w:val="24"/>
              </w:rPr>
            </w:pPr>
            <w:r w:rsidRPr="00E063AE">
              <w:rPr>
                <w:rFonts w:asciiTheme="minorHAnsi" w:hAnsiTheme="minorHAnsi" w:cstheme="minorHAnsi"/>
                <w:i/>
                <w:color w:val="FFFFFF" w:themeColor="background1"/>
                <w:sz w:val="24"/>
                <w:szCs w:val="24"/>
              </w:rPr>
              <w:t xml:space="preserve">Of those who reported having cancer, 13% of males and 11% of females said they had skin cancer </w:t>
            </w: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2865" w:type="dxa"/>
            <w:gridSpan w:val="2"/>
            <w:vMerge w:val="restart"/>
            <w:tcBorders>
              <w:top w:val="nil"/>
              <w:left w:val="nil"/>
              <w:bottom w:val="nil"/>
              <w:right w:val="nil"/>
            </w:tcBorders>
            <w:shd w:val="clear" w:color="auto" w:fill="006666"/>
            <w:vAlign w:val="center"/>
          </w:tcPr>
          <w:p w:rsidR="003D5F44" w:rsidRPr="00233ACE" w:rsidRDefault="00233ACE" w:rsidP="000447D5">
            <w:pPr>
              <w:jc w:val="left"/>
              <w:rPr>
                <w:rFonts w:asciiTheme="minorHAnsi" w:hAnsiTheme="minorHAnsi" w:cstheme="minorHAnsi"/>
                <w:b/>
                <w:i/>
                <w:color w:val="FFFFFF" w:themeColor="background1"/>
                <w:sz w:val="28"/>
                <w:szCs w:val="28"/>
              </w:rPr>
            </w:pPr>
            <w:r>
              <w:rPr>
                <w:rFonts w:asciiTheme="minorHAnsi" w:hAnsiTheme="minorHAnsi" w:cstheme="minorHAnsi"/>
                <w:b/>
                <w:i/>
                <w:color w:val="FFFFFF" w:themeColor="background1"/>
                <w:sz w:val="28"/>
                <w:szCs w:val="28"/>
              </w:rPr>
              <w:t>72%</w:t>
            </w:r>
            <w:r w:rsidRPr="00233ACE">
              <w:rPr>
                <w:rFonts w:asciiTheme="minorHAnsi" w:hAnsiTheme="minorHAnsi" w:cstheme="minorHAnsi"/>
                <w:b/>
                <w:i/>
                <w:color w:val="FFFFFF" w:themeColor="background1"/>
                <w:sz w:val="28"/>
                <w:szCs w:val="28"/>
              </w:rPr>
              <w:t xml:space="preserve"> of those who had a longstanding illness said that it limited their activities to some extent</w:t>
            </w:r>
          </w:p>
        </w:tc>
      </w:tr>
      <w:tr w:rsidR="003D5F44" w:rsidRPr="00B55745" w:rsidTr="00E063AE">
        <w:trPr>
          <w:trHeight w:val="1020"/>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2865" w:type="dxa"/>
            <w:gridSpan w:val="2"/>
            <w:vMerge/>
            <w:tcBorders>
              <w:top w:val="nil"/>
              <w:left w:val="nil"/>
              <w:bottom w:val="nil"/>
              <w:right w:val="nil"/>
            </w:tcBorders>
            <w:shd w:val="clear" w:color="auto" w:fill="006666"/>
          </w:tcPr>
          <w:p w:rsidR="003D5F44" w:rsidRPr="00E92CC1" w:rsidRDefault="003D5F44" w:rsidP="007354C0">
            <w:pPr>
              <w:rPr>
                <w:rFonts w:asciiTheme="minorHAnsi" w:hAnsiTheme="minorHAnsi" w:cstheme="minorHAnsi"/>
                <w:b/>
                <w:i/>
                <w:color w:val="FFFFFF" w:themeColor="background1"/>
                <w:sz w:val="22"/>
                <w:szCs w:val="22"/>
              </w:rPr>
            </w:pPr>
          </w:p>
        </w:tc>
      </w:tr>
      <w:tr w:rsidR="003D5F44" w:rsidRPr="00B55745" w:rsidTr="00E063AE">
        <w:trPr>
          <w:trHeight w:val="340"/>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r>
      <w:tr w:rsidR="008669BB" w:rsidRPr="00B55745" w:rsidTr="00E063AE">
        <w:trPr>
          <w:trHeight w:val="1587"/>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00CC99"/>
            <w:vAlign w:val="center"/>
          </w:tcPr>
          <w:p w:rsidR="003D5F44" w:rsidRPr="00233ACE" w:rsidRDefault="00233ACE" w:rsidP="000447D5">
            <w:pPr>
              <w:jc w:val="left"/>
              <w:rPr>
                <w:rFonts w:asciiTheme="minorHAnsi" w:hAnsiTheme="minorHAnsi" w:cstheme="minorHAnsi"/>
                <w:b/>
                <w:i/>
                <w:color w:val="FFFFFF" w:themeColor="background1"/>
                <w:sz w:val="32"/>
                <w:szCs w:val="32"/>
              </w:rPr>
            </w:pPr>
            <w:r w:rsidRPr="00233ACE">
              <w:rPr>
                <w:rFonts w:asciiTheme="minorHAnsi" w:hAnsiTheme="minorHAnsi" w:cstheme="minorHAnsi"/>
                <w:b/>
                <w:i/>
                <w:color w:val="FFFFFF" w:themeColor="background1"/>
                <w:sz w:val="32"/>
                <w:szCs w:val="32"/>
              </w:rPr>
              <w:t>37% of respondents reported having a longstanding illness</w:t>
            </w:r>
          </w:p>
        </w:tc>
        <w:tc>
          <w:tcPr>
            <w:tcW w:w="1433"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r>
      <w:tr w:rsidR="003D5F44" w:rsidRPr="00B55745" w:rsidTr="00E063AE">
        <w:trPr>
          <w:trHeight w:val="510"/>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r>
      <w:tr w:rsidR="003D5F44" w:rsidRPr="00B55745" w:rsidTr="00E063AE">
        <w:trPr>
          <w:trHeight w:val="1361"/>
        </w:trPr>
        <w:tc>
          <w:tcPr>
            <w:tcW w:w="2864" w:type="dxa"/>
            <w:gridSpan w:val="2"/>
            <w:vMerge w:val="restart"/>
            <w:tcBorders>
              <w:top w:val="nil"/>
              <w:left w:val="nil"/>
              <w:bottom w:val="nil"/>
              <w:right w:val="nil"/>
            </w:tcBorders>
            <w:shd w:val="clear" w:color="auto" w:fill="CCFFCC"/>
            <w:vAlign w:val="center"/>
          </w:tcPr>
          <w:p w:rsidR="003D5F44" w:rsidRPr="00233ACE" w:rsidRDefault="00233ACE" w:rsidP="000447D5">
            <w:pPr>
              <w:jc w:val="left"/>
              <w:rPr>
                <w:rFonts w:asciiTheme="minorHAnsi" w:hAnsiTheme="minorHAnsi" w:cstheme="minorHAnsi"/>
                <w:i/>
                <w:color w:val="005250"/>
                <w:sz w:val="28"/>
                <w:szCs w:val="28"/>
              </w:rPr>
            </w:pPr>
            <w:r w:rsidRPr="00233ACE">
              <w:rPr>
                <w:rFonts w:asciiTheme="minorHAnsi" w:hAnsiTheme="minorHAnsi" w:cstheme="minorHAnsi"/>
                <w:i/>
                <w:color w:val="005250"/>
                <w:sz w:val="28"/>
                <w:szCs w:val="28"/>
              </w:rPr>
              <w:t>Half of females who had cancer reported having breast cancer</w:t>
            </w: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005250"/>
            <w:vAlign w:val="center"/>
          </w:tcPr>
          <w:p w:rsidR="003D5F44" w:rsidRPr="008669BB" w:rsidRDefault="008669BB" w:rsidP="000447D5">
            <w:pPr>
              <w:jc w:val="left"/>
              <w:rPr>
                <w:rFonts w:asciiTheme="minorHAnsi" w:hAnsiTheme="minorHAnsi" w:cstheme="minorHAnsi"/>
                <w:b/>
                <w:i/>
                <w:color w:val="FFFFFF" w:themeColor="background1"/>
                <w:sz w:val="24"/>
                <w:szCs w:val="24"/>
              </w:rPr>
            </w:pPr>
            <w:r w:rsidRPr="008669BB">
              <w:rPr>
                <w:rFonts w:asciiTheme="minorHAnsi" w:hAnsiTheme="minorHAnsi" w:cstheme="minorHAnsi"/>
                <w:i/>
                <w:sz w:val="24"/>
                <w:szCs w:val="24"/>
              </w:rPr>
              <w:t>Asthma affected 11% of respondents</w:t>
            </w:r>
          </w:p>
        </w:tc>
        <w:tc>
          <w:tcPr>
            <w:tcW w:w="1433"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r>
      <w:tr w:rsidR="003D5F44" w:rsidRPr="00B55745" w:rsidTr="00E063AE">
        <w:trPr>
          <w:trHeight w:val="567"/>
        </w:trPr>
        <w:tc>
          <w:tcPr>
            <w:tcW w:w="2864" w:type="dxa"/>
            <w:gridSpan w:val="2"/>
            <w:vMerge/>
            <w:tcBorders>
              <w:top w:val="nil"/>
              <w:left w:val="nil"/>
              <w:bottom w:val="nil"/>
              <w:right w:val="nil"/>
            </w:tcBorders>
            <w:shd w:val="clear" w:color="auto" w:fill="CCFFCC"/>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3D5F44" w:rsidRPr="00E92CC1" w:rsidRDefault="003D5F44" w:rsidP="007354C0">
            <w:pPr>
              <w:rPr>
                <w:rFonts w:asciiTheme="minorHAnsi" w:hAnsiTheme="minorHAnsi" w:cstheme="minorHAnsi"/>
                <w:b/>
                <w:i/>
                <w:color w:val="FFFFFF" w:themeColor="background1"/>
                <w:sz w:val="22"/>
                <w:szCs w:val="22"/>
              </w:rPr>
            </w:pPr>
          </w:p>
        </w:tc>
      </w:tr>
      <w:tr w:rsidR="003D5F44" w:rsidRPr="00B55745" w:rsidTr="00E063AE">
        <w:trPr>
          <w:trHeight w:val="283"/>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r>
      <w:tr w:rsidR="008669BB" w:rsidRPr="00B55745" w:rsidTr="00E063AE">
        <w:trPr>
          <w:trHeight w:val="1701"/>
        </w:trPr>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D5F44" w:rsidRPr="00E92CC1" w:rsidRDefault="003D5F44" w:rsidP="000447D5">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00CC99"/>
            <w:vAlign w:val="center"/>
          </w:tcPr>
          <w:p w:rsidR="003D5F44" w:rsidRPr="00E063AE" w:rsidRDefault="00E063AE" w:rsidP="000447D5">
            <w:pPr>
              <w:jc w:val="left"/>
              <w:rPr>
                <w:rFonts w:asciiTheme="minorHAnsi" w:hAnsiTheme="minorHAnsi" w:cstheme="minorHAnsi"/>
                <w:b/>
                <w:i/>
                <w:color w:val="FFFFFF" w:themeColor="background1"/>
                <w:sz w:val="22"/>
                <w:szCs w:val="22"/>
              </w:rPr>
            </w:pPr>
            <w:r w:rsidRPr="00E063AE">
              <w:rPr>
                <w:rFonts w:asciiTheme="minorHAnsi" w:hAnsiTheme="minorHAnsi" w:cstheme="minorHAnsi"/>
                <w:b/>
                <w:i/>
                <w:color w:val="FFFFFF" w:themeColor="background1"/>
                <w:sz w:val="22"/>
                <w:szCs w:val="22"/>
              </w:rPr>
              <w:t>The proportion of those experiencing moderate or extreme anxiety or depression rose from 20% of those aged 16-24 and peaked at 34% of those aged 45-54</w:t>
            </w:r>
          </w:p>
        </w:tc>
      </w:tr>
    </w:tbl>
    <w:p w:rsidR="003D5F44" w:rsidRDefault="003D5F44" w:rsidP="009F2918">
      <w:pPr>
        <w:tabs>
          <w:tab w:val="left" w:pos="-180"/>
        </w:tabs>
        <w:suppressAutoHyphens/>
        <w:spacing w:before="240" w:after="120"/>
        <w:rPr>
          <w:rFonts w:asciiTheme="minorHAnsi" w:hAnsiTheme="minorHAnsi" w:cstheme="minorHAnsi"/>
          <w:b/>
          <w:color w:val="4F81BD" w:themeColor="accent1"/>
          <w:sz w:val="24"/>
          <w:szCs w:val="24"/>
        </w:rPr>
      </w:pPr>
    </w:p>
    <w:p w:rsidR="00FA11C6" w:rsidRPr="006E3E56" w:rsidRDefault="003D5F44" w:rsidP="006E3E56">
      <w:pPr>
        <w:tabs>
          <w:tab w:val="left" w:pos="-180"/>
        </w:tabs>
        <w:suppressAutoHyphens/>
        <w:spacing w:before="240" w:after="180"/>
        <w:rPr>
          <w:rFonts w:asciiTheme="minorHAnsi" w:hAnsiTheme="minorHAnsi" w:cstheme="minorHAnsi"/>
          <w:b/>
          <w:color w:val="009999"/>
          <w:sz w:val="24"/>
          <w:szCs w:val="24"/>
        </w:rPr>
      </w:pPr>
      <w:r w:rsidRPr="006E3E56">
        <w:rPr>
          <w:rFonts w:asciiTheme="minorHAnsi" w:hAnsiTheme="minorHAnsi" w:cstheme="minorHAnsi"/>
          <w:b/>
          <w:color w:val="009999"/>
          <w:sz w:val="24"/>
          <w:szCs w:val="24"/>
        </w:rPr>
        <w:t>M</w:t>
      </w:r>
      <w:r w:rsidR="00F1199C" w:rsidRPr="006E3E56">
        <w:rPr>
          <w:rFonts w:asciiTheme="minorHAnsi" w:hAnsiTheme="minorHAnsi" w:cstheme="minorHAnsi"/>
          <w:b/>
          <w:color w:val="009999"/>
          <w:sz w:val="24"/>
          <w:szCs w:val="24"/>
        </w:rPr>
        <w:t xml:space="preserve">edical </w:t>
      </w:r>
      <w:r w:rsidR="00FA11C6" w:rsidRPr="006E3E56">
        <w:rPr>
          <w:rFonts w:asciiTheme="minorHAnsi" w:hAnsiTheme="minorHAnsi" w:cstheme="minorHAnsi"/>
          <w:b/>
          <w:color w:val="009999"/>
          <w:sz w:val="24"/>
          <w:szCs w:val="24"/>
        </w:rPr>
        <w:t>Conditions</w:t>
      </w:r>
      <w:bookmarkEnd w:id="13"/>
      <w:r w:rsidR="00FA11C6" w:rsidRPr="006E3E56">
        <w:rPr>
          <w:rFonts w:asciiTheme="minorHAnsi" w:hAnsiTheme="minorHAnsi" w:cstheme="minorHAnsi"/>
          <w:b/>
          <w:color w:val="009999"/>
          <w:sz w:val="24"/>
          <w:szCs w:val="24"/>
        </w:rPr>
        <w:t xml:space="preserve"> </w:t>
      </w:r>
    </w:p>
    <w:p w:rsidR="006E3E56" w:rsidRDefault="00FA11C6" w:rsidP="009F2918">
      <w:pPr>
        <w:tabs>
          <w:tab w:val="left" w:pos="-180"/>
        </w:tabs>
        <w:suppressAutoHyphens/>
        <w:spacing w:after="120" w:line="288" w:lineRule="auto"/>
        <w:rPr>
          <w:rFonts w:asciiTheme="minorHAnsi" w:hAnsiTheme="minorHAnsi" w:cstheme="minorHAnsi"/>
          <w:sz w:val="22"/>
          <w:szCs w:val="22"/>
        </w:rPr>
      </w:pPr>
      <w:r w:rsidRPr="00FA11C6">
        <w:rPr>
          <w:rFonts w:asciiTheme="minorHAnsi" w:hAnsiTheme="minorHAnsi" w:cstheme="minorHAnsi"/>
          <w:sz w:val="22"/>
          <w:szCs w:val="22"/>
        </w:rPr>
        <w:t>Respondents were asked to state if a doctor had</w:t>
      </w:r>
      <w:r>
        <w:rPr>
          <w:rFonts w:asciiTheme="minorHAnsi" w:hAnsiTheme="minorHAnsi" w:cstheme="minorHAnsi"/>
          <w:sz w:val="22"/>
          <w:szCs w:val="22"/>
        </w:rPr>
        <w:t xml:space="preserve"> ever</w:t>
      </w:r>
      <w:r w:rsidRPr="00FA11C6">
        <w:rPr>
          <w:rFonts w:asciiTheme="minorHAnsi" w:hAnsiTheme="minorHAnsi" w:cstheme="minorHAnsi"/>
          <w:sz w:val="22"/>
          <w:szCs w:val="22"/>
        </w:rPr>
        <w:t xml:space="preserve"> told them that they had any of the following disorders: angina, heart attack, heart murmur, other heart condition, stroke, diabetes (includ</w:t>
      </w:r>
      <w:r w:rsidR="007F1207">
        <w:rPr>
          <w:rFonts w:asciiTheme="minorHAnsi" w:hAnsiTheme="minorHAnsi" w:cstheme="minorHAnsi"/>
          <w:sz w:val="22"/>
          <w:szCs w:val="22"/>
        </w:rPr>
        <w:t>ing during pregnancy), asthma, COPD</w:t>
      </w:r>
      <w:r w:rsidRPr="00FA11C6">
        <w:rPr>
          <w:rFonts w:asciiTheme="minorHAnsi" w:hAnsiTheme="minorHAnsi" w:cstheme="minorHAnsi"/>
          <w:sz w:val="22"/>
          <w:szCs w:val="22"/>
        </w:rPr>
        <w:t xml:space="preserve">, cancer and Autistic Spectrum Disorder (ASD). </w:t>
      </w:r>
      <w:r w:rsidR="000800E9">
        <w:rPr>
          <w:rFonts w:asciiTheme="minorHAnsi" w:hAnsiTheme="minorHAnsi" w:cstheme="minorHAnsi"/>
          <w:sz w:val="22"/>
          <w:szCs w:val="22"/>
        </w:rPr>
        <w:t xml:space="preserve">  </w:t>
      </w:r>
    </w:p>
    <w:p w:rsidR="00FA11C6" w:rsidRPr="009F2918" w:rsidRDefault="000800E9"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 two-thirds of respondents </w:t>
      </w:r>
      <w:r w:rsidR="00A643BE">
        <w:rPr>
          <w:rFonts w:asciiTheme="minorHAnsi" w:hAnsiTheme="minorHAnsi" w:cstheme="minorHAnsi"/>
          <w:sz w:val="22"/>
          <w:szCs w:val="22"/>
        </w:rPr>
        <w:t xml:space="preserve">(71%) </w:t>
      </w:r>
      <w:r>
        <w:rPr>
          <w:rFonts w:asciiTheme="minorHAnsi" w:hAnsiTheme="minorHAnsi" w:cstheme="minorHAnsi"/>
          <w:sz w:val="22"/>
          <w:szCs w:val="22"/>
        </w:rPr>
        <w:t xml:space="preserve">said that they had not been told by a doctor that they were affected by any of these disorders.  </w:t>
      </w:r>
      <w:r w:rsidR="00F1199C">
        <w:rPr>
          <w:rFonts w:asciiTheme="minorHAnsi" w:hAnsiTheme="minorHAnsi" w:cstheme="minorHAnsi"/>
          <w:sz w:val="22"/>
          <w:szCs w:val="22"/>
        </w:rPr>
        <w:t>The prevalence of</w:t>
      </w:r>
      <w:r>
        <w:rPr>
          <w:rFonts w:asciiTheme="minorHAnsi" w:hAnsiTheme="minorHAnsi" w:cstheme="minorHAnsi"/>
          <w:sz w:val="22"/>
          <w:szCs w:val="22"/>
        </w:rPr>
        <w:t xml:space="preserve"> </w:t>
      </w:r>
      <w:r w:rsidR="00A643BE">
        <w:rPr>
          <w:rFonts w:asciiTheme="minorHAnsi" w:hAnsiTheme="minorHAnsi" w:cstheme="minorHAnsi"/>
          <w:sz w:val="22"/>
          <w:szCs w:val="22"/>
        </w:rPr>
        <w:t>most of</w:t>
      </w:r>
      <w:r>
        <w:rPr>
          <w:rFonts w:asciiTheme="minorHAnsi" w:hAnsiTheme="minorHAnsi" w:cstheme="minorHAnsi"/>
          <w:sz w:val="22"/>
          <w:szCs w:val="22"/>
        </w:rPr>
        <w:t xml:space="preserve"> the conditions was </w:t>
      </w:r>
      <w:r w:rsidR="00A643BE">
        <w:rPr>
          <w:rFonts w:asciiTheme="minorHAnsi" w:hAnsiTheme="minorHAnsi" w:cstheme="minorHAnsi"/>
          <w:sz w:val="22"/>
          <w:szCs w:val="22"/>
        </w:rPr>
        <w:t>5% or</w:t>
      </w:r>
      <w:r>
        <w:rPr>
          <w:rFonts w:asciiTheme="minorHAnsi" w:hAnsiTheme="minorHAnsi" w:cstheme="minorHAnsi"/>
          <w:sz w:val="22"/>
          <w:szCs w:val="22"/>
        </w:rPr>
        <w:t xml:space="preserve"> </w:t>
      </w:r>
      <w:r w:rsidR="00A643BE">
        <w:rPr>
          <w:rFonts w:asciiTheme="minorHAnsi" w:hAnsiTheme="minorHAnsi" w:cstheme="minorHAnsi"/>
          <w:sz w:val="22"/>
          <w:szCs w:val="22"/>
        </w:rPr>
        <w:t xml:space="preserve">less, </w:t>
      </w:r>
      <w:r>
        <w:rPr>
          <w:rFonts w:asciiTheme="minorHAnsi" w:hAnsiTheme="minorHAnsi" w:cstheme="minorHAnsi"/>
          <w:sz w:val="22"/>
          <w:szCs w:val="22"/>
        </w:rPr>
        <w:t xml:space="preserve">with the exception of asthma which </w:t>
      </w:r>
      <w:r w:rsidR="007F1207">
        <w:rPr>
          <w:rFonts w:asciiTheme="minorHAnsi" w:hAnsiTheme="minorHAnsi" w:cstheme="minorHAnsi"/>
          <w:sz w:val="22"/>
          <w:szCs w:val="22"/>
        </w:rPr>
        <w:t>affected</w:t>
      </w:r>
      <w:r>
        <w:rPr>
          <w:rFonts w:asciiTheme="minorHAnsi" w:hAnsiTheme="minorHAnsi" w:cstheme="minorHAnsi"/>
          <w:sz w:val="22"/>
          <w:szCs w:val="22"/>
        </w:rPr>
        <w:t xml:space="preserve"> 11%</w:t>
      </w:r>
      <w:r w:rsidR="007F1207">
        <w:rPr>
          <w:rFonts w:asciiTheme="minorHAnsi" w:hAnsiTheme="minorHAnsi" w:cstheme="minorHAnsi"/>
          <w:sz w:val="22"/>
          <w:szCs w:val="22"/>
        </w:rPr>
        <w:t xml:space="preserve"> of respondents</w:t>
      </w:r>
      <w:r>
        <w:rPr>
          <w:rFonts w:asciiTheme="minorHAnsi" w:hAnsiTheme="minorHAnsi" w:cstheme="minorHAnsi"/>
          <w:sz w:val="22"/>
          <w:szCs w:val="22"/>
        </w:rPr>
        <w:t>.</w:t>
      </w:r>
    </w:p>
    <w:p w:rsidR="009057A9" w:rsidRPr="006E3E56" w:rsidRDefault="009057A9" w:rsidP="006E3E56">
      <w:pPr>
        <w:tabs>
          <w:tab w:val="left" w:pos="-180"/>
        </w:tabs>
        <w:suppressAutoHyphens/>
        <w:spacing w:before="240"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Asthma</w:t>
      </w:r>
    </w:p>
    <w:p w:rsidR="009057A9" w:rsidRDefault="009057A9"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 11% of respondents had been told that they had asthma.   More than two-thirds</w:t>
      </w:r>
      <w:r w:rsidRPr="009057A9">
        <w:rPr>
          <w:rFonts w:asciiTheme="minorHAnsi" w:hAnsiTheme="minorHAnsi" w:cstheme="minorHAnsi"/>
          <w:sz w:val="22"/>
          <w:szCs w:val="22"/>
        </w:rPr>
        <w:t xml:space="preserve"> </w:t>
      </w:r>
      <w:r>
        <w:rPr>
          <w:rFonts w:asciiTheme="minorHAnsi" w:hAnsiTheme="minorHAnsi" w:cstheme="minorHAnsi"/>
          <w:sz w:val="22"/>
          <w:szCs w:val="22"/>
        </w:rPr>
        <w:t>of th</w:t>
      </w:r>
      <w:r w:rsidR="00A513BC">
        <w:rPr>
          <w:rFonts w:asciiTheme="minorHAnsi" w:hAnsiTheme="minorHAnsi" w:cstheme="minorHAnsi"/>
          <w:sz w:val="22"/>
          <w:szCs w:val="22"/>
        </w:rPr>
        <w:t>o</w:t>
      </w:r>
      <w:r>
        <w:rPr>
          <w:rFonts w:asciiTheme="minorHAnsi" w:hAnsiTheme="minorHAnsi" w:cstheme="minorHAnsi"/>
          <w:sz w:val="22"/>
          <w:szCs w:val="22"/>
        </w:rPr>
        <w:t xml:space="preserve">se </w:t>
      </w:r>
      <w:r w:rsidR="00A513BC">
        <w:rPr>
          <w:rFonts w:asciiTheme="minorHAnsi" w:hAnsiTheme="minorHAnsi" w:cstheme="minorHAnsi"/>
          <w:sz w:val="22"/>
          <w:szCs w:val="22"/>
        </w:rPr>
        <w:t xml:space="preserve">with asthma </w:t>
      </w:r>
      <w:r w:rsidR="007F1207">
        <w:rPr>
          <w:rFonts w:asciiTheme="minorHAnsi" w:hAnsiTheme="minorHAnsi" w:cstheme="minorHAnsi"/>
          <w:sz w:val="22"/>
          <w:szCs w:val="22"/>
        </w:rPr>
        <w:t xml:space="preserve">(70%) </w:t>
      </w:r>
      <w:r>
        <w:rPr>
          <w:rFonts w:asciiTheme="minorHAnsi" w:hAnsiTheme="minorHAnsi" w:cstheme="minorHAnsi"/>
          <w:sz w:val="22"/>
          <w:szCs w:val="22"/>
        </w:rPr>
        <w:t xml:space="preserve">reported taking </w:t>
      </w:r>
      <w:r w:rsidRPr="00A513BC">
        <w:rPr>
          <w:rFonts w:asciiTheme="minorHAnsi" w:hAnsiTheme="minorHAnsi" w:cstheme="minorHAnsi"/>
          <w:sz w:val="22"/>
          <w:szCs w:val="22"/>
        </w:rPr>
        <w:t xml:space="preserve">medication </w:t>
      </w:r>
      <w:r w:rsidR="00A513BC" w:rsidRPr="00A513BC">
        <w:rPr>
          <w:rFonts w:asciiTheme="minorHAnsi" w:hAnsiTheme="minorHAnsi" w:cstheme="minorHAnsi"/>
          <w:sz w:val="22"/>
          <w:szCs w:val="22"/>
        </w:rPr>
        <w:t>(</w:t>
      </w:r>
      <w:r w:rsidRPr="00A513BC">
        <w:rPr>
          <w:rFonts w:asciiTheme="minorHAnsi" w:hAnsiTheme="minorHAnsi" w:cstheme="minorHAnsi"/>
          <w:sz w:val="22"/>
          <w:szCs w:val="22"/>
        </w:rPr>
        <w:t>such as inhalers, nebulizers, pills, liquids or injections</w:t>
      </w:r>
      <w:r w:rsidR="00A513BC" w:rsidRPr="00A513BC">
        <w:rPr>
          <w:rFonts w:asciiTheme="minorHAnsi" w:hAnsiTheme="minorHAnsi" w:cstheme="minorHAnsi"/>
          <w:sz w:val="22"/>
          <w:szCs w:val="22"/>
        </w:rPr>
        <w:t>)</w:t>
      </w:r>
      <w:r w:rsidRPr="00A513BC">
        <w:rPr>
          <w:rFonts w:asciiTheme="minorHAnsi" w:hAnsiTheme="minorHAnsi" w:cstheme="minorHAnsi"/>
          <w:sz w:val="22"/>
          <w:szCs w:val="22"/>
        </w:rPr>
        <w:t xml:space="preserve"> in the past </w:t>
      </w:r>
      <w:r w:rsidR="00A513BC" w:rsidRPr="00A513BC">
        <w:rPr>
          <w:rFonts w:asciiTheme="minorHAnsi" w:hAnsiTheme="minorHAnsi" w:cstheme="minorHAnsi"/>
          <w:sz w:val="22"/>
          <w:szCs w:val="22"/>
        </w:rPr>
        <w:t>twelve</w:t>
      </w:r>
      <w:r w:rsidRPr="00A513BC">
        <w:rPr>
          <w:rFonts w:asciiTheme="minorHAnsi" w:hAnsiTheme="minorHAnsi" w:cstheme="minorHAnsi"/>
          <w:sz w:val="22"/>
          <w:szCs w:val="22"/>
        </w:rPr>
        <w:t xml:space="preserve"> months. </w:t>
      </w:r>
      <w:r w:rsidR="00A513BC" w:rsidRPr="00A513BC">
        <w:rPr>
          <w:rFonts w:asciiTheme="minorHAnsi" w:hAnsiTheme="minorHAnsi" w:cstheme="minorHAnsi"/>
          <w:sz w:val="22"/>
          <w:szCs w:val="22"/>
        </w:rPr>
        <w:t xml:space="preserve"> One-fifth of asthma sufferers reported having an asthma attack in the last twelve months.</w:t>
      </w:r>
    </w:p>
    <w:p w:rsidR="00144017" w:rsidRPr="00A513BC" w:rsidRDefault="00E87A4D"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Incidence of asthma was higher in urban areas (12%) than rural areas (10%)</w:t>
      </w:r>
      <w:r w:rsidR="00A75F1B">
        <w:rPr>
          <w:rFonts w:asciiTheme="minorHAnsi" w:hAnsiTheme="minorHAnsi" w:cstheme="minorHAnsi"/>
          <w:sz w:val="22"/>
          <w:szCs w:val="22"/>
        </w:rPr>
        <w:t>,</w:t>
      </w:r>
      <w:r>
        <w:rPr>
          <w:rFonts w:asciiTheme="minorHAnsi" w:hAnsiTheme="minorHAnsi" w:cstheme="minorHAnsi"/>
          <w:sz w:val="22"/>
          <w:szCs w:val="22"/>
        </w:rPr>
        <w:t xml:space="preserve"> and higher in the most deprived areas (15%) than in the least deprived areas (12%).</w:t>
      </w:r>
    </w:p>
    <w:p w:rsidR="00144017" w:rsidRPr="006E3E56" w:rsidRDefault="00144017" w:rsidP="006E3E56">
      <w:pPr>
        <w:tabs>
          <w:tab w:val="left" w:pos="-180"/>
        </w:tabs>
        <w:suppressAutoHyphens/>
        <w:spacing w:before="240"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Cancer</w:t>
      </w:r>
    </w:p>
    <w:p w:rsidR="009057A9" w:rsidRDefault="00A643BE"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 small proportion </w:t>
      </w:r>
      <w:r w:rsidR="00E87A4D">
        <w:rPr>
          <w:rFonts w:asciiTheme="minorHAnsi" w:hAnsiTheme="minorHAnsi" w:cstheme="minorHAnsi"/>
          <w:sz w:val="22"/>
          <w:szCs w:val="22"/>
        </w:rPr>
        <w:t xml:space="preserve">of respondents </w:t>
      </w:r>
      <w:r>
        <w:rPr>
          <w:rFonts w:asciiTheme="minorHAnsi" w:hAnsiTheme="minorHAnsi" w:cstheme="minorHAnsi"/>
          <w:sz w:val="22"/>
          <w:szCs w:val="22"/>
        </w:rPr>
        <w:t xml:space="preserve">(4%) </w:t>
      </w:r>
      <w:r w:rsidR="00E87A4D">
        <w:rPr>
          <w:rFonts w:asciiTheme="minorHAnsi" w:hAnsiTheme="minorHAnsi" w:cstheme="minorHAnsi"/>
          <w:sz w:val="22"/>
          <w:szCs w:val="22"/>
        </w:rPr>
        <w:t xml:space="preserve">reported having been told by a doctor that they had cancer, with </w:t>
      </w:r>
      <w:r w:rsidR="00C2360B">
        <w:rPr>
          <w:rFonts w:asciiTheme="minorHAnsi" w:hAnsiTheme="minorHAnsi" w:cstheme="minorHAnsi"/>
          <w:sz w:val="22"/>
          <w:szCs w:val="22"/>
        </w:rPr>
        <w:t>likelihood a diagnosis</w:t>
      </w:r>
      <w:r w:rsidR="00E87A4D">
        <w:rPr>
          <w:rFonts w:asciiTheme="minorHAnsi" w:hAnsiTheme="minorHAnsi" w:cstheme="minorHAnsi"/>
          <w:sz w:val="22"/>
          <w:szCs w:val="22"/>
        </w:rPr>
        <w:t xml:space="preserve"> of cancer increasing with age</w:t>
      </w:r>
      <w:r w:rsidR="00A75F1B">
        <w:rPr>
          <w:rFonts w:asciiTheme="minorHAnsi" w:hAnsiTheme="minorHAnsi" w:cstheme="minorHAnsi"/>
          <w:sz w:val="22"/>
          <w:szCs w:val="22"/>
        </w:rPr>
        <w:t xml:space="preserve"> up to a high of 10% of those aged 65-74.</w:t>
      </w:r>
    </w:p>
    <w:p w:rsidR="00E87A4D" w:rsidRDefault="00E87A4D" w:rsidP="00144017">
      <w:pPr>
        <w:tabs>
          <w:tab w:val="left" w:pos="-180"/>
        </w:tabs>
        <w:suppressAutoHyphens/>
        <w:spacing w:after="60"/>
        <w:rPr>
          <w:rFonts w:asciiTheme="minorHAnsi" w:hAnsiTheme="minorHAnsi" w:cstheme="minorHAnsi"/>
          <w:sz w:val="22"/>
          <w:szCs w:val="22"/>
        </w:rPr>
      </w:pPr>
      <w:r w:rsidRPr="00E87A4D">
        <w:rPr>
          <w:rFonts w:asciiTheme="minorHAnsi" w:hAnsiTheme="minorHAnsi" w:cstheme="minorHAnsi"/>
          <w:noProof/>
          <w:sz w:val="22"/>
          <w:szCs w:val="22"/>
          <w:lang w:val="en-IE" w:eastAsia="en-IE"/>
        </w:rPr>
        <w:lastRenderedPageBreak/>
        <w:drawing>
          <wp:inline distT="0" distB="0" distL="0" distR="0">
            <wp:extent cx="4324350" cy="2160000"/>
            <wp:effectExtent l="19050" t="0" r="0" b="0"/>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325C" w:rsidRDefault="003F325C" w:rsidP="009F2918">
      <w:pPr>
        <w:tabs>
          <w:tab w:val="left" w:pos="-180"/>
        </w:tabs>
        <w:suppressAutoHyphens/>
        <w:spacing w:after="120" w:line="288" w:lineRule="auto"/>
        <w:rPr>
          <w:rFonts w:asciiTheme="minorHAnsi" w:hAnsiTheme="minorHAnsi" w:cstheme="minorHAnsi"/>
          <w:sz w:val="22"/>
          <w:szCs w:val="22"/>
        </w:rPr>
      </w:pPr>
    </w:p>
    <w:p w:rsidR="005470B7" w:rsidRDefault="00A75F1B" w:rsidP="009F2918">
      <w:pPr>
        <w:tabs>
          <w:tab w:val="left" w:pos="-180"/>
        </w:tabs>
        <w:suppressAutoHyphens/>
        <w:spacing w:after="120" w:line="288" w:lineRule="auto"/>
        <w:rPr>
          <w:rFonts w:asciiTheme="minorHAnsi" w:hAnsiTheme="minorHAnsi" w:cstheme="minorHAnsi"/>
          <w:sz w:val="22"/>
          <w:szCs w:val="22"/>
        </w:rPr>
      </w:pPr>
      <w:r w:rsidRPr="004F1B98">
        <w:rPr>
          <w:rFonts w:asciiTheme="minorHAnsi" w:hAnsiTheme="minorHAnsi" w:cstheme="minorHAnsi"/>
          <w:sz w:val="22"/>
          <w:szCs w:val="22"/>
        </w:rPr>
        <w:t xml:space="preserve">Half of females who had cancer reported having breast cancer (50%), while 11% reported skin cancer.  </w:t>
      </w:r>
    </w:p>
    <w:p w:rsidR="005470B7" w:rsidRDefault="005470B7" w:rsidP="00144017">
      <w:pPr>
        <w:tabs>
          <w:tab w:val="left" w:pos="-180"/>
        </w:tabs>
        <w:suppressAutoHyphens/>
        <w:spacing w:after="60"/>
        <w:rPr>
          <w:rFonts w:asciiTheme="minorHAnsi" w:hAnsiTheme="minorHAnsi" w:cstheme="minorHAnsi"/>
          <w:sz w:val="22"/>
          <w:szCs w:val="22"/>
        </w:rPr>
      </w:pPr>
      <w:r w:rsidRPr="005470B7">
        <w:rPr>
          <w:rFonts w:asciiTheme="minorHAnsi" w:hAnsiTheme="minorHAnsi" w:cstheme="minorHAnsi"/>
          <w:noProof/>
          <w:sz w:val="22"/>
          <w:szCs w:val="22"/>
          <w:lang w:val="en-IE" w:eastAsia="en-IE"/>
        </w:rPr>
        <w:drawing>
          <wp:inline distT="0" distB="0" distL="0" distR="0">
            <wp:extent cx="4324350" cy="2628000"/>
            <wp:effectExtent l="19050" t="0" r="0" b="0"/>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7174C" w:rsidRDefault="00F7174C" w:rsidP="009F2918">
      <w:pPr>
        <w:tabs>
          <w:tab w:val="left" w:pos="-180"/>
        </w:tabs>
        <w:suppressAutoHyphens/>
        <w:spacing w:after="120" w:line="288" w:lineRule="auto"/>
        <w:rPr>
          <w:rFonts w:asciiTheme="minorHAnsi" w:hAnsiTheme="minorHAnsi" w:cstheme="minorHAnsi"/>
          <w:sz w:val="22"/>
          <w:szCs w:val="22"/>
        </w:rPr>
      </w:pPr>
    </w:p>
    <w:p w:rsidR="00144017" w:rsidRDefault="00A75F1B" w:rsidP="009F2918">
      <w:pPr>
        <w:tabs>
          <w:tab w:val="left" w:pos="-180"/>
        </w:tabs>
        <w:suppressAutoHyphens/>
        <w:spacing w:after="120" w:line="288" w:lineRule="auto"/>
        <w:rPr>
          <w:rFonts w:asciiTheme="minorHAnsi" w:hAnsiTheme="minorHAnsi" w:cstheme="minorHAnsi"/>
          <w:sz w:val="22"/>
          <w:szCs w:val="22"/>
        </w:rPr>
      </w:pPr>
      <w:r w:rsidRPr="004F1B98">
        <w:rPr>
          <w:rFonts w:asciiTheme="minorHAnsi" w:hAnsiTheme="minorHAnsi" w:cstheme="minorHAnsi"/>
          <w:sz w:val="22"/>
          <w:szCs w:val="22"/>
        </w:rPr>
        <w:lastRenderedPageBreak/>
        <w:t>The most commonly reported male cancer was prostate cancer (24%), followed by skin and colorectal cancer (both 13%)</w:t>
      </w:r>
      <w:r w:rsidR="004F1B98" w:rsidRPr="004F1B98">
        <w:rPr>
          <w:rFonts w:asciiTheme="minorHAnsi" w:hAnsiTheme="minorHAnsi" w:cstheme="minorHAnsi"/>
          <w:sz w:val="22"/>
          <w:szCs w:val="22"/>
        </w:rPr>
        <w:t>,</w:t>
      </w:r>
      <w:r w:rsidRPr="004F1B98">
        <w:rPr>
          <w:rFonts w:asciiTheme="minorHAnsi" w:hAnsiTheme="minorHAnsi" w:cstheme="minorHAnsi"/>
          <w:sz w:val="22"/>
          <w:szCs w:val="22"/>
        </w:rPr>
        <w:t xml:space="preserve"> </w:t>
      </w:r>
      <w:r w:rsidR="004F1B98" w:rsidRPr="004F1B98">
        <w:rPr>
          <w:rFonts w:asciiTheme="minorHAnsi" w:hAnsiTheme="minorHAnsi" w:cstheme="minorHAnsi"/>
          <w:sz w:val="22"/>
          <w:szCs w:val="22"/>
        </w:rPr>
        <w:t>testicular cancer and cancer of the mouth/neck/throat (both 12%).</w:t>
      </w:r>
    </w:p>
    <w:p w:rsidR="004F1B98" w:rsidRPr="004F1B98" w:rsidRDefault="005470B7" w:rsidP="00144017">
      <w:pPr>
        <w:tabs>
          <w:tab w:val="left" w:pos="-180"/>
        </w:tabs>
        <w:suppressAutoHyphens/>
        <w:spacing w:after="60"/>
        <w:rPr>
          <w:rFonts w:asciiTheme="minorHAnsi" w:hAnsiTheme="minorHAnsi" w:cstheme="minorHAnsi"/>
          <w:sz w:val="22"/>
          <w:szCs w:val="22"/>
        </w:rPr>
      </w:pPr>
      <w:r w:rsidRPr="005470B7">
        <w:rPr>
          <w:rFonts w:asciiTheme="minorHAnsi" w:hAnsiTheme="minorHAnsi" w:cstheme="minorHAnsi"/>
          <w:noProof/>
          <w:sz w:val="22"/>
          <w:szCs w:val="22"/>
          <w:lang w:val="en-IE" w:eastAsia="en-IE"/>
        </w:rPr>
        <w:drawing>
          <wp:inline distT="0" distB="0" distL="0" distR="0">
            <wp:extent cx="4324350" cy="2592000"/>
            <wp:effectExtent l="19050" t="0" r="0" b="0"/>
            <wp:docPr id="6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174C" w:rsidRDefault="00F7174C" w:rsidP="009F2918">
      <w:pPr>
        <w:tabs>
          <w:tab w:val="left" w:pos="-180"/>
        </w:tabs>
        <w:suppressAutoHyphens/>
        <w:spacing w:before="240" w:after="120"/>
        <w:rPr>
          <w:rFonts w:asciiTheme="minorHAnsi" w:hAnsiTheme="minorHAnsi" w:cstheme="minorHAnsi"/>
          <w:b/>
          <w:color w:val="009999"/>
          <w:sz w:val="24"/>
          <w:szCs w:val="24"/>
        </w:rPr>
      </w:pPr>
      <w:bookmarkStart w:id="14" w:name="_Ref381945776"/>
      <w:bookmarkStart w:id="15" w:name="OLE_LINK12"/>
      <w:bookmarkStart w:id="16" w:name="OLE_LINK13"/>
    </w:p>
    <w:p w:rsidR="00E545A9" w:rsidRDefault="00E545A9" w:rsidP="009F2918">
      <w:pPr>
        <w:tabs>
          <w:tab w:val="left" w:pos="-180"/>
        </w:tabs>
        <w:suppressAutoHyphens/>
        <w:spacing w:before="240" w:after="120"/>
        <w:rPr>
          <w:rFonts w:asciiTheme="minorHAnsi" w:hAnsiTheme="minorHAnsi" w:cstheme="minorHAnsi"/>
          <w:b/>
          <w:color w:val="009999"/>
          <w:sz w:val="24"/>
          <w:szCs w:val="24"/>
        </w:rPr>
      </w:pPr>
    </w:p>
    <w:p w:rsidR="00413174" w:rsidRPr="006E3E56" w:rsidRDefault="004821E5" w:rsidP="009F2918">
      <w:pPr>
        <w:tabs>
          <w:tab w:val="left" w:pos="-180"/>
        </w:tabs>
        <w:suppressAutoHyphens/>
        <w:spacing w:before="240" w:after="120"/>
        <w:rPr>
          <w:rFonts w:asciiTheme="minorHAnsi" w:hAnsiTheme="minorHAnsi" w:cstheme="minorHAnsi"/>
          <w:b/>
          <w:color w:val="009999"/>
          <w:sz w:val="24"/>
          <w:szCs w:val="24"/>
        </w:rPr>
      </w:pPr>
      <w:r w:rsidRPr="006E3E56">
        <w:rPr>
          <w:rFonts w:asciiTheme="minorHAnsi" w:hAnsiTheme="minorHAnsi" w:cstheme="minorHAnsi"/>
          <w:b/>
          <w:color w:val="009999"/>
          <w:sz w:val="24"/>
          <w:szCs w:val="24"/>
        </w:rPr>
        <w:t>Longstanding Illness</w:t>
      </w:r>
      <w:bookmarkEnd w:id="14"/>
    </w:p>
    <w:p w:rsidR="008D74A9" w:rsidRPr="009F2918" w:rsidRDefault="008D74A9" w:rsidP="009F2918">
      <w:pPr>
        <w:tabs>
          <w:tab w:val="left" w:pos="-180"/>
        </w:tabs>
        <w:suppressAutoHyphens/>
        <w:spacing w:after="120" w:line="288" w:lineRule="auto"/>
        <w:rPr>
          <w:rFonts w:asciiTheme="minorHAnsi" w:hAnsiTheme="minorHAnsi" w:cstheme="minorHAnsi"/>
          <w:sz w:val="22"/>
          <w:szCs w:val="22"/>
        </w:rPr>
      </w:pPr>
      <w:r w:rsidRPr="009F2918">
        <w:rPr>
          <w:rFonts w:asciiTheme="minorHAnsi" w:hAnsiTheme="minorHAnsi" w:cstheme="minorHAnsi"/>
          <w:sz w:val="22"/>
          <w:szCs w:val="22"/>
        </w:rPr>
        <w:t xml:space="preserve">Questions on long-term conditions were asked in line with DHSSPS’s ‘Living with Long-Term conditions – a Policy Framework’ which was published in April 2012.  </w:t>
      </w:r>
    </w:p>
    <w:bookmarkEnd w:id="15"/>
    <w:bookmarkEnd w:id="16"/>
    <w:p w:rsidR="00413174" w:rsidRDefault="004821E5"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two-fifths of respondents (37%) reported having a long</w:t>
      </w:r>
      <w:r w:rsidR="007C791A">
        <w:rPr>
          <w:rFonts w:asciiTheme="minorHAnsi" w:hAnsiTheme="minorHAnsi" w:cstheme="minorHAnsi"/>
          <w:sz w:val="22"/>
          <w:szCs w:val="22"/>
        </w:rPr>
        <w:t xml:space="preserve">standing </w:t>
      </w:r>
      <w:r>
        <w:rPr>
          <w:rFonts w:asciiTheme="minorHAnsi" w:hAnsiTheme="minorHAnsi" w:cstheme="minorHAnsi"/>
          <w:sz w:val="22"/>
          <w:szCs w:val="22"/>
        </w:rPr>
        <w:t>illness</w:t>
      </w:r>
      <w:r w:rsidR="00035B94">
        <w:rPr>
          <w:rFonts w:asciiTheme="minorHAnsi" w:hAnsiTheme="minorHAnsi" w:cstheme="minorHAnsi"/>
          <w:sz w:val="22"/>
          <w:szCs w:val="22"/>
        </w:rPr>
        <w:t>.  This was true for</w:t>
      </w:r>
      <w:r>
        <w:rPr>
          <w:rFonts w:asciiTheme="minorHAnsi" w:hAnsiTheme="minorHAnsi" w:cstheme="minorHAnsi"/>
          <w:sz w:val="22"/>
          <w:szCs w:val="22"/>
        </w:rPr>
        <w:t xml:space="preserve"> females </w:t>
      </w:r>
      <w:r w:rsidR="00C2360B">
        <w:rPr>
          <w:rFonts w:asciiTheme="minorHAnsi" w:hAnsiTheme="minorHAnsi" w:cstheme="minorHAnsi"/>
          <w:sz w:val="22"/>
          <w:szCs w:val="22"/>
        </w:rPr>
        <w:t xml:space="preserve">(38%) </w:t>
      </w:r>
      <w:r w:rsidR="00035B94">
        <w:rPr>
          <w:rFonts w:asciiTheme="minorHAnsi" w:hAnsiTheme="minorHAnsi" w:cstheme="minorHAnsi"/>
          <w:sz w:val="22"/>
          <w:szCs w:val="22"/>
        </w:rPr>
        <w:t xml:space="preserve">and </w:t>
      </w:r>
      <w:r w:rsidR="00C2360B">
        <w:rPr>
          <w:rFonts w:asciiTheme="minorHAnsi" w:hAnsiTheme="minorHAnsi" w:cstheme="minorHAnsi"/>
          <w:sz w:val="22"/>
          <w:szCs w:val="22"/>
        </w:rPr>
        <w:t>m</w:t>
      </w:r>
      <w:r>
        <w:rPr>
          <w:rFonts w:asciiTheme="minorHAnsi" w:hAnsiTheme="minorHAnsi" w:cstheme="minorHAnsi"/>
          <w:sz w:val="22"/>
          <w:szCs w:val="22"/>
        </w:rPr>
        <w:t>ales</w:t>
      </w:r>
      <w:r w:rsidR="00C2360B">
        <w:rPr>
          <w:rFonts w:asciiTheme="minorHAnsi" w:hAnsiTheme="minorHAnsi" w:cstheme="minorHAnsi"/>
          <w:sz w:val="22"/>
          <w:szCs w:val="22"/>
        </w:rPr>
        <w:t xml:space="preserve"> (35%)</w:t>
      </w:r>
      <w:r>
        <w:rPr>
          <w:rFonts w:asciiTheme="minorHAnsi" w:hAnsiTheme="minorHAnsi" w:cstheme="minorHAnsi"/>
          <w:sz w:val="22"/>
          <w:szCs w:val="22"/>
        </w:rPr>
        <w:t>.</w:t>
      </w:r>
      <w:r w:rsidR="00E42833">
        <w:rPr>
          <w:rFonts w:asciiTheme="minorHAnsi" w:hAnsiTheme="minorHAnsi" w:cstheme="minorHAnsi"/>
          <w:sz w:val="22"/>
          <w:szCs w:val="22"/>
        </w:rPr>
        <w:t xml:space="preserve">  </w:t>
      </w:r>
      <w:bookmarkStart w:id="17" w:name="OLE_LINK14"/>
      <w:bookmarkStart w:id="18" w:name="OLE_LINK15"/>
      <w:r w:rsidR="00E42833">
        <w:rPr>
          <w:rFonts w:asciiTheme="minorHAnsi" w:hAnsiTheme="minorHAnsi" w:cstheme="minorHAnsi"/>
          <w:sz w:val="22"/>
          <w:szCs w:val="22"/>
        </w:rPr>
        <w:t xml:space="preserve">The proportion of respondents with a longstanding illness increased </w:t>
      </w:r>
      <w:r w:rsidR="007C791A">
        <w:rPr>
          <w:rFonts w:asciiTheme="minorHAnsi" w:hAnsiTheme="minorHAnsi" w:cstheme="minorHAnsi"/>
          <w:sz w:val="22"/>
          <w:szCs w:val="22"/>
        </w:rPr>
        <w:t>with age from a fifth of those aged 18-24 (19%) to over two-thirds of those aged 75 and over (69%).</w:t>
      </w:r>
    </w:p>
    <w:bookmarkEnd w:id="17"/>
    <w:bookmarkEnd w:id="18"/>
    <w:p w:rsidR="005B3178" w:rsidRDefault="005B3178" w:rsidP="00057794">
      <w:pPr>
        <w:tabs>
          <w:tab w:val="left" w:pos="-180"/>
        </w:tabs>
        <w:suppressAutoHyphens/>
        <w:spacing w:after="120"/>
        <w:rPr>
          <w:rFonts w:asciiTheme="minorHAnsi" w:hAnsiTheme="minorHAnsi" w:cstheme="minorHAnsi"/>
          <w:sz w:val="22"/>
          <w:szCs w:val="22"/>
        </w:rPr>
      </w:pPr>
      <w:r w:rsidRPr="005B3178">
        <w:rPr>
          <w:rFonts w:asciiTheme="minorHAnsi" w:hAnsiTheme="minorHAnsi" w:cstheme="minorHAnsi"/>
          <w:noProof/>
          <w:sz w:val="22"/>
          <w:szCs w:val="22"/>
          <w:lang w:val="en-IE" w:eastAsia="en-IE"/>
        </w:rPr>
        <w:lastRenderedPageBreak/>
        <w:drawing>
          <wp:inline distT="0" distB="0" distL="0" distR="0">
            <wp:extent cx="4324350" cy="2160000"/>
            <wp:effectExtent l="0" t="0" r="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2EE2" w:rsidRDefault="007C791A"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Those living in urban areas (39%) were more likely to have a long-standing illness than those in rural areas (33%).  Over two-fifths of respondents in the Belfast and Western Trust areas </w:t>
      </w:r>
      <w:r w:rsidR="00DE511B">
        <w:rPr>
          <w:rFonts w:asciiTheme="minorHAnsi" w:hAnsiTheme="minorHAnsi" w:cstheme="minorHAnsi"/>
          <w:sz w:val="22"/>
          <w:szCs w:val="22"/>
        </w:rPr>
        <w:t>reported having</w:t>
      </w:r>
      <w:r>
        <w:rPr>
          <w:rFonts w:asciiTheme="minorHAnsi" w:hAnsiTheme="minorHAnsi" w:cstheme="minorHAnsi"/>
          <w:sz w:val="22"/>
          <w:szCs w:val="22"/>
        </w:rPr>
        <w:t xml:space="preserve"> a longstanding illness compared with around a third of those in other Trust areas.  </w:t>
      </w:r>
    </w:p>
    <w:p w:rsidR="007C791A" w:rsidRDefault="00DE511B"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Within</w:t>
      </w:r>
      <w:r w:rsidR="007C791A">
        <w:rPr>
          <w:rFonts w:asciiTheme="minorHAnsi" w:hAnsiTheme="minorHAnsi" w:cstheme="minorHAnsi"/>
          <w:sz w:val="22"/>
          <w:szCs w:val="22"/>
        </w:rPr>
        <w:t xml:space="preserve"> Trusts</w:t>
      </w:r>
      <w:r>
        <w:rPr>
          <w:rFonts w:asciiTheme="minorHAnsi" w:hAnsiTheme="minorHAnsi" w:cstheme="minorHAnsi"/>
          <w:sz w:val="22"/>
          <w:szCs w:val="22"/>
        </w:rPr>
        <w:t>,</w:t>
      </w:r>
      <w:r w:rsidR="007C791A">
        <w:rPr>
          <w:rFonts w:asciiTheme="minorHAnsi" w:hAnsiTheme="minorHAnsi" w:cstheme="minorHAnsi"/>
          <w:sz w:val="22"/>
          <w:szCs w:val="22"/>
        </w:rPr>
        <w:t xml:space="preserve"> </w:t>
      </w:r>
      <w:r>
        <w:rPr>
          <w:rFonts w:asciiTheme="minorHAnsi" w:hAnsiTheme="minorHAnsi" w:cstheme="minorHAnsi"/>
          <w:sz w:val="22"/>
          <w:szCs w:val="22"/>
        </w:rPr>
        <w:t>there were</w:t>
      </w:r>
      <w:r w:rsidR="007C791A">
        <w:rPr>
          <w:rFonts w:asciiTheme="minorHAnsi" w:hAnsiTheme="minorHAnsi" w:cstheme="minorHAnsi"/>
          <w:sz w:val="22"/>
          <w:szCs w:val="22"/>
        </w:rPr>
        <w:t xml:space="preserve"> similar proportions of males and females with longstanding illnesses with the exception of the Belfast Trust where </w:t>
      </w:r>
      <w:r>
        <w:rPr>
          <w:rFonts w:asciiTheme="minorHAnsi" w:hAnsiTheme="minorHAnsi" w:cstheme="minorHAnsi"/>
          <w:sz w:val="22"/>
          <w:szCs w:val="22"/>
        </w:rPr>
        <w:t>a higher proportion</w:t>
      </w:r>
      <w:r w:rsidR="007C791A">
        <w:rPr>
          <w:rFonts w:asciiTheme="minorHAnsi" w:hAnsiTheme="minorHAnsi" w:cstheme="minorHAnsi"/>
          <w:sz w:val="22"/>
          <w:szCs w:val="22"/>
        </w:rPr>
        <w:t xml:space="preserve"> of </w:t>
      </w:r>
      <w:r w:rsidR="00365722">
        <w:rPr>
          <w:rFonts w:asciiTheme="minorHAnsi" w:hAnsiTheme="minorHAnsi" w:cstheme="minorHAnsi"/>
          <w:sz w:val="22"/>
          <w:szCs w:val="22"/>
        </w:rPr>
        <w:t xml:space="preserve">females (47%) </w:t>
      </w:r>
      <w:r>
        <w:rPr>
          <w:rFonts w:asciiTheme="minorHAnsi" w:hAnsiTheme="minorHAnsi" w:cstheme="minorHAnsi"/>
          <w:sz w:val="22"/>
          <w:szCs w:val="22"/>
        </w:rPr>
        <w:t>than</w:t>
      </w:r>
      <w:r w:rsidR="00365722">
        <w:rPr>
          <w:rFonts w:asciiTheme="minorHAnsi" w:hAnsiTheme="minorHAnsi" w:cstheme="minorHAnsi"/>
          <w:sz w:val="22"/>
          <w:szCs w:val="22"/>
        </w:rPr>
        <w:t xml:space="preserve"> males (34%) reported a longstanding illness.</w:t>
      </w:r>
    </w:p>
    <w:p w:rsidR="00365722" w:rsidRDefault="00365722" w:rsidP="00057794">
      <w:pPr>
        <w:tabs>
          <w:tab w:val="left" w:pos="-180"/>
        </w:tabs>
        <w:suppressAutoHyphens/>
        <w:spacing w:after="120"/>
        <w:rPr>
          <w:rFonts w:asciiTheme="minorHAnsi" w:hAnsiTheme="minorHAnsi" w:cstheme="minorHAnsi"/>
          <w:sz w:val="22"/>
          <w:szCs w:val="22"/>
        </w:rPr>
      </w:pPr>
      <w:r w:rsidRPr="00365722">
        <w:rPr>
          <w:rFonts w:asciiTheme="minorHAnsi" w:hAnsiTheme="minorHAnsi" w:cstheme="minorHAnsi"/>
          <w:noProof/>
          <w:sz w:val="22"/>
          <w:szCs w:val="22"/>
          <w:lang w:val="en-IE" w:eastAsia="en-IE"/>
        </w:rPr>
        <w:drawing>
          <wp:inline distT="0" distB="0" distL="0" distR="0">
            <wp:extent cx="4324350" cy="2160000"/>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3178" w:rsidRDefault="00365722"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 xml:space="preserve">Almost half of those living in the most deprived areas (46%) reported a long-standing illness compared with a third of those in the least deprived areas (33%).  </w:t>
      </w:r>
      <w:r w:rsidR="005B3178">
        <w:rPr>
          <w:rFonts w:asciiTheme="minorHAnsi" w:hAnsiTheme="minorHAnsi" w:cstheme="minorHAnsi"/>
          <w:sz w:val="22"/>
          <w:szCs w:val="22"/>
        </w:rPr>
        <w:t xml:space="preserve"> </w:t>
      </w:r>
      <w:r w:rsidR="00485126">
        <w:rPr>
          <w:rFonts w:asciiTheme="minorHAnsi" w:hAnsiTheme="minorHAnsi" w:cstheme="minorHAnsi"/>
          <w:sz w:val="22"/>
          <w:szCs w:val="22"/>
        </w:rPr>
        <w:t>Male respondents from the most deprived areas (45%) were 50% more likely to report a longstanding illness than their counterparts in the least deprived areas (30%).</w:t>
      </w:r>
    </w:p>
    <w:p w:rsidR="00E545A9" w:rsidRPr="00E545A9" w:rsidRDefault="00E545A9" w:rsidP="00E545A9">
      <w:pPr>
        <w:tabs>
          <w:tab w:val="left" w:pos="-180"/>
        </w:tabs>
        <w:suppressAutoHyphens/>
        <w:spacing w:line="288" w:lineRule="auto"/>
        <w:rPr>
          <w:rFonts w:asciiTheme="minorHAnsi" w:hAnsiTheme="minorHAnsi" w:cstheme="minorHAnsi"/>
          <w:sz w:val="16"/>
          <w:szCs w:val="16"/>
        </w:rPr>
      </w:pPr>
    </w:p>
    <w:p w:rsidR="005B3178" w:rsidRDefault="005B3178" w:rsidP="00057794">
      <w:pPr>
        <w:tabs>
          <w:tab w:val="left" w:pos="-180"/>
        </w:tabs>
        <w:suppressAutoHyphens/>
        <w:spacing w:after="120"/>
        <w:rPr>
          <w:rFonts w:asciiTheme="minorHAnsi" w:hAnsiTheme="minorHAnsi" w:cstheme="minorHAnsi"/>
          <w:b/>
          <w:color w:val="4F81BD" w:themeColor="accent1"/>
          <w:sz w:val="24"/>
          <w:szCs w:val="24"/>
        </w:rPr>
      </w:pPr>
      <w:r w:rsidRPr="005B3178">
        <w:rPr>
          <w:rFonts w:asciiTheme="minorHAnsi" w:hAnsiTheme="minorHAnsi" w:cstheme="minorHAnsi"/>
          <w:b/>
          <w:noProof/>
          <w:color w:val="4F81BD" w:themeColor="accent1"/>
          <w:sz w:val="24"/>
          <w:szCs w:val="24"/>
          <w:lang w:val="en-IE" w:eastAsia="en-IE"/>
        </w:rPr>
        <w:drawing>
          <wp:inline distT="0" distB="0" distL="0" distR="0">
            <wp:extent cx="4324350" cy="2520000"/>
            <wp:effectExtent l="1905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45A9" w:rsidRDefault="00E545A9" w:rsidP="00E545A9">
      <w:pPr>
        <w:tabs>
          <w:tab w:val="left" w:pos="-180"/>
        </w:tabs>
        <w:suppressAutoHyphens/>
        <w:spacing w:before="240" w:after="60"/>
        <w:rPr>
          <w:rFonts w:asciiTheme="minorHAnsi" w:hAnsiTheme="minorHAnsi" w:cstheme="minorHAnsi"/>
          <w:b/>
          <w:color w:val="009999"/>
          <w:sz w:val="22"/>
          <w:szCs w:val="22"/>
        </w:rPr>
      </w:pPr>
    </w:p>
    <w:p w:rsidR="00CF6CC6" w:rsidRPr="006E3E56" w:rsidRDefault="00CF6CC6" w:rsidP="00E545A9">
      <w:pPr>
        <w:tabs>
          <w:tab w:val="left" w:pos="-180"/>
        </w:tabs>
        <w:suppressAutoHyphens/>
        <w:spacing w:before="240"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Longstanding Illnesses Reported</w:t>
      </w:r>
    </w:p>
    <w:p w:rsidR="00CF6CC6" w:rsidRPr="000807F8" w:rsidRDefault="00E7608F" w:rsidP="009F2918">
      <w:pPr>
        <w:tabs>
          <w:tab w:val="left" w:pos="-180"/>
        </w:tabs>
        <w:suppressAutoHyphens/>
        <w:spacing w:after="120" w:line="288" w:lineRule="auto"/>
        <w:rPr>
          <w:rFonts w:asciiTheme="minorHAnsi" w:hAnsiTheme="minorHAnsi" w:cstheme="minorHAnsi"/>
          <w:sz w:val="22"/>
          <w:szCs w:val="22"/>
        </w:rPr>
      </w:pPr>
      <w:r w:rsidRPr="00E7608F">
        <w:rPr>
          <w:rFonts w:asciiTheme="minorHAnsi" w:hAnsiTheme="minorHAnsi" w:cstheme="minorHAnsi"/>
          <w:sz w:val="22"/>
          <w:szCs w:val="22"/>
        </w:rPr>
        <w:t>The most commonly reported longstanding illness reported by respondents was skeletal / muscular problems (19%), followed by arthritis / osteoarthritis (18%), mental disorders / anxiety / depression (17%) and asthma (10%).</w:t>
      </w:r>
    </w:p>
    <w:p w:rsidR="00CF6CC6" w:rsidRDefault="00CF6CC6" w:rsidP="009F2918">
      <w:pPr>
        <w:tabs>
          <w:tab w:val="left" w:pos="-180"/>
        </w:tabs>
        <w:suppressAutoHyphens/>
        <w:spacing w:after="120" w:line="288" w:lineRule="auto"/>
        <w:rPr>
          <w:rFonts w:asciiTheme="minorHAnsi" w:hAnsiTheme="minorHAnsi" w:cstheme="minorHAnsi"/>
          <w:sz w:val="22"/>
          <w:szCs w:val="22"/>
        </w:rPr>
      </w:pPr>
      <w:r w:rsidRPr="004D0C0F">
        <w:rPr>
          <w:rFonts w:asciiTheme="minorHAnsi" w:hAnsiTheme="minorHAnsi" w:cstheme="minorHAnsi"/>
          <w:sz w:val="22"/>
          <w:szCs w:val="22"/>
        </w:rPr>
        <w:t xml:space="preserve">Over half of those reporting </w:t>
      </w:r>
      <w:r w:rsidRPr="000807F8">
        <w:rPr>
          <w:rFonts w:asciiTheme="minorHAnsi" w:hAnsiTheme="minorHAnsi" w:cstheme="minorHAnsi"/>
          <w:sz w:val="22"/>
          <w:szCs w:val="22"/>
        </w:rPr>
        <w:t xml:space="preserve">Skeletal / Muscular problems </w:t>
      </w:r>
      <w:r>
        <w:rPr>
          <w:rFonts w:asciiTheme="minorHAnsi" w:hAnsiTheme="minorHAnsi" w:cstheme="minorHAnsi"/>
          <w:sz w:val="22"/>
          <w:szCs w:val="22"/>
        </w:rPr>
        <w:t>(56%) and</w:t>
      </w:r>
      <w:r w:rsidRPr="000807F8">
        <w:rPr>
          <w:rFonts w:asciiTheme="minorHAnsi" w:hAnsiTheme="minorHAnsi" w:cstheme="minorHAnsi"/>
          <w:sz w:val="22"/>
          <w:szCs w:val="22"/>
        </w:rPr>
        <w:t xml:space="preserve"> Arthritis / Osteoarthritis</w:t>
      </w:r>
      <w:r>
        <w:rPr>
          <w:rFonts w:asciiTheme="minorHAnsi" w:hAnsiTheme="minorHAnsi" w:cstheme="minorHAnsi"/>
          <w:sz w:val="22"/>
          <w:szCs w:val="22"/>
        </w:rPr>
        <w:t xml:space="preserve"> (61%) said that their condition limited their activities a lot, while this was the case for under half of those with </w:t>
      </w:r>
      <w:r w:rsidRPr="000807F8">
        <w:rPr>
          <w:rFonts w:asciiTheme="minorHAnsi" w:hAnsiTheme="minorHAnsi" w:cstheme="minorHAnsi"/>
          <w:sz w:val="22"/>
          <w:szCs w:val="22"/>
        </w:rPr>
        <w:t>Mental Disorders / Anxiety / Depression (</w:t>
      </w:r>
      <w:r>
        <w:rPr>
          <w:rFonts w:asciiTheme="minorHAnsi" w:hAnsiTheme="minorHAnsi" w:cstheme="minorHAnsi"/>
          <w:sz w:val="22"/>
          <w:szCs w:val="22"/>
        </w:rPr>
        <w:t>46</w:t>
      </w:r>
      <w:r w:rsidRPr="000807F8">
        <w:rPr>
          <w:rFonts w:asciiTheme="minorHAnsi" w:hAnsiTheme="minorHAnsi" w:cstheme="minorHAnsi"/>
          <w:sz w:val="22"/>
          <w:szCs w:val="22"/>
        </w:rPr>
        <w:t xml:space="preserve">%) and </w:t>
      </w:r>
      <w:r>
        <w:rPr>
          <w:rFonts w:asciiTheme="minorHAnsi" w:hAnsiTheme="minorHAnsi" w:cstheme="minorHAnsi"/>
          <w:sz w:val="22"/>
          <w:szCs w:val="22"/>
        </w:rPr>
        <w:t xml:space="preserve">a quarter of those with </w:t>
      </w:r>
      <w:r w:rsidRPr="000807F8">
        <w:rPr>
          <w:rFonts w:asciiTheme="minorHAnsi" w:hAnsiTheme="minorHAnsi" w:cstheme="minorHAnsi"/>
          <w:sz w:val="22"/>
          <w:szCs w:val="22"/>
        </w:rPr>
        <w:t>Asthma (</w:t>
      </w:r>
      <w:r>
        <w:rPr>
          <w:rFonts w:asciiTheme="minorHAnsi" w:hAnsiTheme="minorHAnsi" w:cstheme="minorHAnsi"/>
          <w:sz w:val="22"/>
          <w:szCs w:val="22"/>
        </w:rPr>
        <w:t>24</w:t>
      </w:r>
      <w:r w:rsidRPr="000807F8">
        <w:rPr>
          <w:rFonts w:asciiTheme="minorHAnsi" w:hAnsiTheme="minorHAnsi" w:cstheme="minorHAnsi"/>
          <w:sz w:val="22"/>
          <w:szCs w:val="22"/>
        </w:rPr>
        <w:t>%).</w:t>
      </w:r>
    </w:p>
    <w:p w:rsidR="00E545A9" w:rsidRDefault="00E545A9" w:rsidP="00E545A9">
      <w:pPr>
        <w:tabs>
          <w:tab w:val="left" w:pos="-180"/>
        </w:tabs>
        <w:suppressAutoHyphens/>
        <w:spacing w:before="360" w:after="120"/>
        <w:rPr>
          <w:rFonts w:asciiTheme="minorHAnsi" w:hAnsiTheme="minorHAnsi" w:cstheme="minorHAnsi"/>
          <w:b/>
          <w:color w:val="009999"/>
          <w:sz w:val="24"/>
          <w:szCs w:val="24"/>
        </w:rPr>
      </w:pPr>
    </w:p>
    <w:p w:rsidR="00CB161B" w:rsidRPr="006E3E56" w:rsidRDefault="00CB161B" w:rsidP="00E545A9">
      <w:pPr>
        <w:tabs>
          <w:tab w:val="left" w:pos="-180"/>
        </w:tabs>
        <w:suppressAutoHyphens/>
        <w:spacing w:before="360" w:after="120"/>
        <w:rPr>
          <w:rFonts w:asciiTheme="minorHAnsi" w:hAnsiTheme="minorHAnsi" w:cstheme="minorHAnsi"/>
          <w:b/>
          <w:color w:val="009999"/>
          <w:sz w:val="24"/>
          <w:szCs w:val="24"/>
        </w:rPr>
      </w:pPr>
      <w:r w:rsidRPr="006E3E56">
        <w:rPr>
          <w:rFonts w:asciiTheme="minorHAnsi" w:hAnsiTheme="minorHAnsi" w:cstheme="minorHAnsi"/>
          <w:b/>
          <w:color w:val="009999"/>
          <w:sz w:val="24"/>
          <w:szCs w:val="24"/>
        </w:rPr>
        <w:lastRenderedPageBreak/>
        <w:t>Limiting Longstanding Illness</w:t>
      </w:r>
    </w:p>
    <w:p w:rsidR="008E735B" w:rsidRDefault="00A643BE"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three-quarters</w:t>
      </w:r>
      <w:r w:rsidR="00A3056D" w:rsidRPr="00A3056D">
        <w:rPr>
          <w:rFonts w:asciiTheme="minorHAnsi" w:hAnsiTheme="minorHAnsi" w:cstheme="minorHAnsi"/>
          <w:sz w:val="22"/>
          <w:szCs w:val="22"/>
        </w:rPr>
        <w:t xml:space="preserve"> of those who had a longstanding illness (</w:t>
      </w:r>
      <w:r>
        <w:rPr>
          <w:rFonts w:asciiTheme="minorHAnsi" w:hAnsiTheme="minorHAnsi" w:cstheme="minorHAnsi"/>
          <w:sz w:val="22"/>
          <w:szCs w:val="22"/>
        </w:rPr>
        <w:t>72</w:t>
      </w:r>
      <w:r w:rsidR="00A3056D" w:rsidRPr="00A3056D">
        <w:rPr>
          <w:rFonts w:asciiTheme="minorHAnsi" w:hAnsiTheme="minorHAnsi" w:cstheme="minorHAnsi"/>
          <w:sz w:val="22"/>
          <w:szCs w:val="22"/>
        </w:rPr>
        <w:t>%) said that it limited their activities to some extent (</w:t>
      </w:r>
      <w:r>
        <w:rPr>
          <w:rFonts w:asciiTheme="minorHAnsi" w:hAnsiTheme="minorHAnsi" w:cstheme="minorHAnsi"/>
          <w:sz w:val="22"/>
          <w:szCs w:val="22"/>
        </w:rPr>
        <w:t>40</w:t>
      </w:r>
      <w:r w:rsidR="00A3056D" w:rsidRPr="00A3056D">
        <w:rPr>
          <w:rFonts w:asciiTheme="minorHAnsi" w:hAnsiTheme="minorHAnsi" w:cstheme="minorHAnsi"/>
          <w:sz w:val="22"/>
          <w:szCs w:val="22"/>
        </w:rPr>
        <w:t>% a lot and 3</w:t>
      </w:r>
      <w:r>
        <w:rPr>
          <w:rFonts w:asciiTheme="minorHAnsi" w:hAnsiTheme="minorHAnsi" w:cstheme="minorHAnsi"/>
          <w:sz w:val="22"/>
          <w:szCs w:val="22"/>
        </w:rPr>
        <w:t>2</w:t>
      </w:r>
      <w:r w:rsidR="00A3056D" w:rsidRPr="00A3056D">
        <w:rPr>
          <w:rFonts w:asciiTheme="minorHAnsi" w:hAnsiTheme="minorHAnsi" w:cstheme="minorHAnsi"/>
          <w:sz w:val="22"/>
          <w:szCs w:val="22"/>
        </w:rPr>
        <w:t>% a little)</w:t>
      </w:r>
      <w:r w:rsidR="0095656E">
        <w:rPr>
          <w:rFonts w:asciiTheme="minorHAnsi" w:hAnsiTheme="minorHAnsi" w:cstheme="minorHAnsi"/>
          <w:sz w:val="22"/>
          <w:szCs w:val="22"/>
        </w:rPr>
        <w:t>, with the majority of these (89%) stating that their ability to carry out day-to-day activities had been reduced for more than 12 months</w:t>
      </w:r>
      <w:r w:rsidR="00A3056D" w:rsidRPr="00A3056D">
        <w:rPr>
          <w:rFonts w:asciiTheme="minorHAnsi" w:hAnsiTheme="minorHAnsi" w:cstheme="minorHAnsi"/>
          <w:sz w:val="22"/>
          <w:szCs w:val="22"/>
        </w:rPr>
        <w:t>.</w:t>
      </w:r>
      <w:r w:rsidR="00C04C17">
        <w:rPr>
          <w:rFonts w:asciiTheme="minorHAnsi" w:hAnsiTheme="minorHAnsi" w:cstheme="minorHAnsi"/>
          <w:sz w:val="22"/>
          <w:szCs w:val="22"/>
        </w:rPr>
        <w:t xml:space="preserve"> </w:t>
      </w:r>
    </w:p>
    <w:p w:rsidR="00C04C17" w:rsidRDefault="00C04C17"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proportion of respondents whose longstanding illness limited their activities </w:t>
      </w:r>
      <w:r w:rsidR="00DE129B">
        <w:rPr>
          <w:rFonts w:asciiTheme="minorHAnsi" w:hAnsiTheme="minorHAnsi" w:cstheme="minorHAnsi"/>
          <w:sz w:val="22"/>
          <w:szCs w:val="22"/>
        </w:rPr>
        <w:t xml:space="preserve">a lot </w:t>
      </w:r>
      <w:r w:rsidR="00485126">
        <w:rPr>
          <w:rFonts w:asciiTheme="minorHAnsi" w:hAnsiTheme="minorHAnsi" w:cstheme="minorHAnsi"/>
          <w:sz w:val="22"/>
          <w:szCs w:val="22"/>
        </w:rPr>
        <w:t>varied by</w:t>
      </w:r>
      <w:r>
        <w:rPr>
          <w:rFonts w:asciiTheme="minorHAnsi" w:hAnsiTheme="minorHAnsi" w:cstheme="minorHAnsi"/>
          <w:sz w:val="22"/>
          <w:szCs w:val="22"/>
        </w:rPr>
        <w:t xml:space="preserve"> age </w:t>
      </w:r>
      <w:r w:rsidR="00485126">
        <w:rPr>
          <w:rFonts w:asciiTheme="minorHAnsi" w:hAnsiTheme="minorHAnsi" w:cstheme="minorHAnsi"/>
          <w:sz w:val="22"/>
          <w:szCs w:val="22"/>
        </w:rPr>
        <w:t xml:space="preserve">ranging </w:t>
      </w:r>
      <w:r>
        <w:rPr>
          <w:rFonts w:asciiTheme="minorHAnsi" w:hAnsiTheme="minorHAnsi" w:cstheme="minorHAnsi"/>
          <w:sz w:val="22"/>
          <w:szCs w:val="22"/>
        </w:rPr>
        <w:t xml:space="preserve">from </w:t>
      </w:r>
      <w:r w:rsidR="00DE129B">
        <w:rPr>
          <w:rFonts w:asciiTheme="minorHAnsi" w:hAnsiTheme="minorHAnsi" w:cstheme="minorHAnsi"/>
          <w:sz w:val="22"/>
          <w:szCs w:val="22"/>
        </w:rPr>
        <w:t>a fifth</w:t>
      </w:r>
      <w:r w:rsidR="0095656E">
        <w:rPr>
          <w:rFonts w:asciiTheme="minorHAnsi" w:hAnsiTheme="minorHAnsi" w:cstheme="minorHAnsi"/>
          <w:sz w:val="22"/>
          <w:szCs w:val="22"/>
        </w:rPr>
        <w:t xml:space="preserve"> of those aged </w:t>
      </w:r>
      <w:r w:rsidR="00DE129B">
        <w:rPr>
          <w:rFonts w:asciiTheme="minorHAnsi" w:hAnsiTheme="minorHAnsi" w:cstheme="minorHAnsi"/>
          <w:sz w:val="22"/>
          <w:szCs w:val="22"/>
        </w:rPr>
        <w:t>25-34</w:t>
      </w:r>
      <w:r>
        <w:rPr>
          <w:rFonts w:asciiTheme="minorHAnsi" w:hAnsiTheme="minorHAnsi" w:cstheme="minorHAnsi"/>
          <w:sz w:val="22"/>
          <w:szCs w:val="22"/>
        </w:rPr>
        <w:t xml:space="preserve"> </w:t>
      </w:r>
      <w:r w:rsidR="00DE129B">
        <w:rPr>
          <w:rFonts w:asciiTheme="minorHAnsi" w:hAnsiTheme="minorHAnsi" w:cstheme="minorHAnsi"/>
          <w:sz w:val="22"/>
          <w:szCs w:val="22"/>
        </w:rPr>
        <w:t>(2</w:t>
      </w:r>
      <w:r w:rsidR="00A643BE">
        <w:rPr>
          <w:rFonts w:asciiTheme="minorHAnsi" w:hAnsiTheme="minorHAnsi" w:cstheme="minorHAnsi"/>
          <w:sz w:val="22"/>
          <w:szCs w:val="22"/>
        </w:rPr>
        <w:t>4</w:t>
      </w:r>
      <w:r w:rsidR="00DE129B">
        <w:rPr>
          <w:rFonts w:asciiTheme="minorHAnsi" w:hAnsiTheme="minorHAnsi" w:cstheme="minorHAnsi"/>
          <w:sz w:val="22"/>
          <w:szCs w:val="22"/>
        </w:rPr>
        <w:t xml:space="preserve">%) </w:t>
      </w:r>
      <w:r>
        <w:rPr>
          <w:rFonts w:asciiTheme="minorHAnsi" w:hAnsiTheme="minorHAnsi" w:cstheme="minorHAnsi"/>
          <w:sz w:val="22"/>
          <w:szCs w:val="22"/>
        </w:rPr>
        <w:t xml:space="preserve">to </w:t>
      </w:r>
      <w:r w:rsidR="00485126">
        <w:rPr>
          <w:rFonts w:asciiTheme="minorHAnsi" w:hAnsiTheme="minorHAnsi" w:cstheme="minorHAnsi"/>
          <w:sz w:val="22"/>
          <w:szCs w:val="22"/>
        </w:rPr>
        <w:t>more than half</w:t>
      </w:r>
      <w:r>
        <w:rPr>
          <w:rFonts w:asciiTheme="minorHAnsi" w:hAnsiTheme="minorHAnsi" w:cstheme="minorHAnsi"/>
          <w:sz w:val="22"/>
          <w:szCs w:val="22"/>
        </w:rPr>
        <w:t xml:space="preserve"> of those aged 75 and over</w:t>
      </w:r>
      <w:r w:rsidR="00485126">
        <w:rPr>
          <w:rFonts w:asciiTheme="minorHAnsi" w:hAnsiTheme="minorHAnsi" w:cstheme="minorHAnsi"/>
          <w:sz w:val="22"/>
          <w:szCs w:val="22"/>
        </w:rPr>
        <w:t xml:space="preserve"> (53%)</w:t>
      </w:r>
      <w:r>
        <w:rPr>
          <w:rFonts w:asciiTheme="minorHAnsi" w:hAnsiTheme="minorHAnsi" w:cstheme="minorHAnsi"/>
          <w:sz w:val="22"/>
          <w:szCs w:val="22"/>
        </w:rPr>
        <w:t>.</w:t>
      </w:r>
    </w:p>
    <w:p w:rsidR="00E545A9" w:rsidRDefault="00E545A9" w:rsidP="00E545A9">
      <w:pPr>
        <w:tabs>
          <w:tab w:val="left" w:pos="-180"/>
        </w:tabs>
        <w:suppressAutoHyphens/>
        <w:spacing w:line="288" w:lineRule="auto"/>
        <w:rPr>
          <w:rFonts w:asciiTheme="minorHAnsi" w:hAnsiTheme="minorHAnsi" w:cstheme="minorHAnsi"/>
          <w:sz w:val="22"/>
          <w:szCs w:val="22"/>
        </w:rPr>
      </w:pPr>
    </w:p>
    <w:p w:rsidR="0095656E" w:rsidRPr="00365722" w:rsidRDefault="0084705E" w:rsidP="00B41CD5">
      <w:pPr>
        <w:tabs>
          <w:tab w:val="left" w:pos="-180"/>
        </w:tabs>
        <w:suppressAutoHyphens/>
        <w:spacing w:after="60"/>
        <w:rPr>
          <w:rFonts w:asciiTheme="minorHAnsi" w:hAnsiTheme="minorHAnsi" w:cstheme="minorHAnsi"/>
          <w:b/>
          <w:color w:val="4F81BD" w:themeColor="accent1"/>
          <w:sz w:val="22"/>
          <w:szCs w:val="22"/>
        </w:rPr>
      </w:pPr>
      <w:r w:rsidRPr="0084705E">
        <w:rPr>
          <w:rFonts w:asciiTheme="minorHAnsi" w:hAnsiTheme="minorHAnsi" w:cstheme="minorHAnsi"/>
          <w:noProof/>
          <w:sz w:val="22"/>
          <w:szCs w:val="22"/>
          <w:lang w:val="en-IE" w:eastAsia="en-IE"/>
        </w:rPr>
        <w:drawing>
          <wp:inline distT="0" distB="0" distL="0" distR="0">
            <wp:extent cx="4324350" cy="2520000"/>
            <wp:effectExtent l="19050" t="0" r="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45A9" w:rsidRPr="00E545A9" w:rsidRDefault="00E545A9" w:rsidP="00E545A9">
      <w:pPr>
        <w:tabs>
          <w:tab w:val="left" w:pos="-180"/>
        </w:tabs>
        <w:suppressAutoHyphens/>
        <w:spacing w:line="288" w:lineRule="auto"/>
        <w:rPr>
          <w:rFonts w:asciiTheme="minorHAnsi" w:hAnsiTheme="minorHAnsi" w:cstheme="minorHAnsi"/>
          <w:sz w:val="16"/>
          <w:szCs w:val="16"/>
        </w:rPr>
      </w:pPr>
    </w:p>
    <w:p w:rsidR="00413174" w:rsidRDefault="0095656E" w:rsidP="009F2918">
      <w:pPr>
        <w:tabs>
          <w:tab w:val="left" w:pos="-180"/>
        </w:tabs>
        <w:suppressAutoHyphens/>
        <w:spacing w:after="120" w:line="288" w:lineRule="auto"/>
        <w:rPr>
          <w:rFonts w:asciiTheme="minorHAnsi" w:hAnsiTheme="minorHAnsi" w:cstheme="minorHAnsi"/>
          <w:sz w:val="22"/>
          <w:szCs w:val="22"/>
        </w:rPr>
      </w:pPr>
      <w:r w:rsidRPr="0095656E">
        <w:rPr>
          <w:rFonts w:asciiTheme="minorHAnsi" w:hAnsiTheme="minorHAnsi" w:cstheme="minorHAnsi"/>
          <w:sz w:val="22"/>
          <w:szCs w:val="22"/>
        </w:rPr>
        <w:t xml:space="preserve">Those respondents with a longstanding illness living in an urban area were more likely to say that it limited their activities a lot (43%) compared with those living in rural locations (33%).  </w:t>
      </w:r>
    </w:p>
    <w:p w:rsidR="00817459" w:rsidRDefault="001251FD"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While there was little difference across the Health and Social Care Trusts in the proportion of respondents with a limiting longstanding illness, a</w:t>
      </w:r>
      <w:r w:rsidR="00DE129B">
        <w:rPr>
          <w:rFonts w:asciiTheme="minorHAnsi" w:hAnsiTheme="minorHAnsi" w:cstheme="minorHAnsi"/>
          <w:sz w:val="22"/>
          <w:szCs w:val="22"/>
        </w:rPr>
        <w:t xml:space="preserve">lmost half of those in the Southern </w:t>
      </w:r>
      <w:r w:rsidR="00817459">
        <w:rPr>
          <w:rFonts w:asciiTheme="minorHAnsi" w:hAnsiTheme="minorHAnsi" w:cstheme="minorHAnsi"/>
          <w:sz w:val="22"/>
          <w:szCs w:val="22"/>
        </w:rPr>
        <w:t>Trust</w:t>
      </w:r>
      <w:r w:rsidR="00DE129B">
        <w:rPr>
          <w:rFonts w:asciiTheme="minorHAnsi" w:hAnsiTheme="minorHAnsi" w:cstheme="minorHAnsi"/>
          <w:sz w:val="22"/>
          <w:szCs w:val="22"/>
        </w:rPr>
        <w:t xml:space="preserve"> </w:t>
      </w:r>
      <w:r w:rsidRPr="0095656E">
        <w:rPr>
          <w:rFonts w:asciiTheme="minorHAnsi" w:hAnsiTheme="minorHAnsi" w:cstheme="minorHAnsi"/>
          <w:sz w:val="22"/>
          <w:szCs w:val="22"/>
        </w:rPr>
        <w:t>(4</w:t>
      </w:r>
      <w:r>
        <w:rPr>
          <w:rFonts w:asciiTheme="minorHAnsi" w:hAnsiTheme="minorHAnsi" w:cstheme="minorHAnsi"/>
          <w:sz w:val="22"/>
          <w:szCs w:val="22"/>
        </w:rPr>
        <w:t>7</w:t>
      </w:r>
      <w:r w:rsidRPr="0095656E">
        <w:rPr>
          <w:rFonts w:asciiTheme="minorHAnsi" w:hAnsiTheme="minorHAnsi" w:cstheme="minorHAnsi"/>
          <w:sz w:val="22"/>
          <w:szCs w:val="22"/>
        </w:rPr>
        <w:t>%)</w:t>
      </w:r>
      <w:r>
        <w:rPr>
          <w:rFonts w:asciiTheme="minorHAnsi" w:hAnsiTheme="minorHAnsi" w:cstheme="minorHAnsi"/>
          <w:sz w:val="22"/>
          <w:szCs w:val="22"/>
        </w:rPr>
        <w:t xml:space="preserve"> </w:t>
      </w:r>
      <w:r w:rsidR="00DE129B">
        <w:rPr>
          <w:rFonts w:asciiTheme="minorHAnsi" w:hAnsiTheme="minorHAnsi" w:cstheme="minorHAnsi"/>
          <w:sz w:val="22"/>
          <w:szCs w:val="22"/>
        </w:rPr>
        <w:t>said</w:t>
      </w:r>
      <w:r w:rsidR="00DE129B" w:rsidRPr="0095656E">
        <w:rPr>
          <w:rFonts w:asciiTheme="minorHAnsi" w:hAnsiTheme="minorHAnsi" w:cstheme="minorHAnsi"/>
          <w:sz w:val="22"/>
          <w:szCs w:val="22"/>
        </w:rPr>
        <w:t xml:space="preserve"> that it limited their activities a lot</w:t>
      </w:r>
      <w:r w:rsidR="00DE129B">
        <w:rPr>
          <w:rFonts w:asciiTheme="minorHAnsi" w:hAnsiTheme="minorHAnsi" w:cstheme="minorHAnsi"/>
          <w:sz w:val="22"/>
          <w:szCs w:val="22"/>
        </w:rPr>
        <w:t xml:space="preserve"> compared with </w:t>
      </w:r>
      <w:r>
        <w:rPr>
          <w:rFonts w:asciiTheme="minorHAnsi" w:hAnsiTheme="minorHAnsi" w:cstheme="minorHAnsi"/>
          <w:sz w:val="22"/>
          <w:szCs w:val="22"/>
        </w:rPr>
        <w:t>36%</w:t>
      </w:r>
      <w:r w:rsidR="00DE129B">
        <w:rPr>
          <w:rFonts w:asciiTheme="minorHAnsi" w:hAnsiTheme="minorHAnsi" w:cstheme="minorHAnsi"/>
          <w:sz w:val="22"/>
          <w:szCs w:val="22"/>
        </w:rPr>
        <w:t xml:space="preserve"> of those in the Northern Trust area.</w:t>
      </w:r>
    </w:p>
    <w:p w:rsidR="00817459" w:rsidRPr="0095656E" w:rsidRDefault="00817459" w:rsidP="00057794">
      <w:pPr>
        <w:tabs>
          <w:tab w:val="left" w:pos="-180"/>
        </w:tabs>
        <w:suppressAutoHyphens/>
        <w:spacing w:after="120"/>
        <w:rPr>
          <w:rFonts w:asciiTheme="minorHAnsi" w:hAnsiTheme="minorHAnsi" w:cstheme="minorHAnsi"/>
          <w:sz w:val="22"/>
          <w:szCs w:val="22"/>
        </w:rPr>
      </w:pPr>
      <w:r w:rsidRPr="00817459">
        <w:rPr>
          <w:rFonts w:asciiTheme="minorHAnsi" w:hAnsiTheme="minorHAnsi" w:cstheme="minorHAnsi"/>
          <w:noProof/>
          <w:sz w:val="22"/>
          <w:szCs w:val="22"/>
          <w:lang w:val="en-IE" w:eastAsia="en-IE"/>
        </w:rPr>
        <w:lastRenderedPageBreak/>
        <w:drawing>
          <wp:inline distT="0" distB="0" distL="0" distR="0">
            <wp:extent cx="4324350" cy="2520000"/>
            <wp:effectExtent l="19050" t="0" r="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735B" w:rsidRPr="009F2918" w:rsidRDefault="008E735B" w:rsidP="00E545A9">
      <w:pPr>
        <w:tabs>
          <w:tab w:val="left" w:pos="-180"/>
        </w:tabs>
        <w:suppressAutoHyphens/>
        <w:spacing w:before="240" w:after="360" w:line="288" w:lineRule="auto"/>
        <w:rPr>
          <w:rFonts w:asciiTheme="minorHAnsi" w:hAnsiTheme="minorHAnsi" w:cstheme="minorHAnsi"/>
          <w:sz w:val="22"/>
          <w:szCs w:val="22"/>
        </w:rPr>
      </w:pPr>
      <w:r>
        <w:rPr>
          <w:rFonts w:asciiTheme="minorHAnsi" w:hAnsiTheme="minorHAnsi" w:cstheme="minorHAnsi"/>
          <w:sz w:val="22"/>
          <w:szCs w:val="22"/>
        </w:rPr>
        <w:t>Over half of those living in the most deprived areas (52%) reported their long-standing illness limited the</w:t>
      </w:r>
      <w:r w:rsidR="001251FD">
        <w:rPr>
          <w:rFonts w:asciiTheme="minorHAnsi" w:hAnsiTheme="minorHAnsi" w:cstheme="minorHAnsi"/>
          <w:sz w:val="22"/>
          <w:szCs w:val="22"/>
        </w:rPr>
        <w:t>ir activities</w:t>
      </w:r>
      <w:r>
        <w:rPr>
          <w:rFonts w:asciiTheme="minorHAnsi" w:hAnsiTheme="minorHAnsi" w:cstheme="minorHAnsi"/>
          <w:sz w:val="22"/>
          <w:szCs w:val="22"/>
        </w:rPr>
        <w:t xml:space="preserve"> a lot compared with 29% of those in the least deprived areas.   </w:t>
      </w:r>
    </w:p>
    <w:p w:rsidR="00817459" w:rsidRDefault="00817459" w:rsidP="00057794">
      <w:pPr>
        <w:tabs>
          <w:tab w:val="left" w:pos="-180"/>
        </w:tabs>
        <w:suppressAutoHyphens/>
        <w:spacing w:after="120"/>
        <w:rPr>
          <w:rFonts w:asciiTheme="minorHAnsi" w:hAnsiTheme="minorHAnsi" w:cstheme="minorHAnsi"/>
          <w:b/>
          <w:color w:val="4F81BD" w:themeColor="accent1"/>
          <w:sz w:val="24"/>
          <w:szCs w:val="24"/>
        </w:rPr>
      </w:pPr>
      <w:r w:rsidRPr="00817459">
        <w:rPr>
          <w:rFonts w:asciiTheme="minorHAnsi" w:hAnsiTheme="minorHAnsi" w:cstheme="minorHAnsi"/>
          <w:b/>
          <w:noProof/>
          <w:color w:val="4F81BD" w:themeColor="accent1"/>
          <w:sz w:val="24"/>
          <w:szCs w:val="24"/>
          <w:lang w:val="en-IE" w:eastAsia="en-IE"/>
        </w:rPr>
        <w:drawing>
          <wp:inline distT="0" distB="0" distL="0" distR="0">
            <wp:extent cx="4324350" cy="2520000"/>
            <wp:effectExtent l="19050" t="0" r="0"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545A9" w:rsidRDefault="00E545A9" w:rsidP="0085187E">
      <w:pPr>
        <w:tabs>
          <w:tab w:val="left" w:pos="-180"/>
        </w:tabs>
        <w:suppressAutoHyphens/>
        <w:spacing w:after="60"/>
        <w:rPr>
          <w:rFonts w:asciiTheme="minorHAnsi" w:hAnsiTheme="minorHAnsi" w:cstheme="minorHAnsi"/>
          <w:b/>
          <w:color w:val="009999"/>
          <w:sz w:val="22"/>
          <w:szCs w:val="22"/>
        </w:rPr>
      </w:pPr>
    </w:p>
    <w:p w:rsidR="00413174" w:rsidRPr="006E3E56" w:rsidRDefault="00A23137"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lastRenderedPageBreak/>
        <w:t>Cutting down on Activities Due to Longsta</w:t>
      </w:r>
      <w:r w:rsidR="002729FE" w:rsidRPr="006E3E56">
        <w:rPr>
          <w:rFonts w:asciiTheme="minorHAnsi" w:hAnsiTheme="minorHAnsi" w:cstheme="minorHAnsi"/>
          <w:b/>
          <w:color w:val="009999"/>
          <w:sz w:val="22"/>
          <w:szCs w:val="22"/>
        </w:rPr>
        <w:t>nding Illness or Other Illness o</w:t>
      </w:r>
      <w:r w:rsidRPr="006E3E56">
        <w:rPr>
          <w:rFonts w:asciiTheme="minorHAnsi" w:hAnsiTheme="minorHAnsi" w:cstheme="minorHAnsi"/>
          <w:b/>
          <w:color w:val="009999"/>
          <w:sz w:val="22"/>
          <w:szCs w:val="22"/>
        </w:rPr>
        <w:t>ver Last Two Weeks</w:t>
      </w:r>
    </w:p>
    <w:p w:rsidR="00413174" w:rsidRDefault="00A23137" w:rsidP="00A25AFF">
      <w:pPr>
        <w:tabs>
          <w:tab w:val="left" w:pos="-180"/>
        </w:tabs>
        <w:suppressAutoHyphens/>
        <w:spacing w:after="360" w:line="288" w:lineRule="auto"/>
        <w:rPr>
          <w:rFonts w:asciiTheme="minorHAnsi" w:hAnsiTheme="minorHAnsi" w:cstheme="minorHAnsi"/>
          <w:sz w:val="22"/>
          <w:szCs w:val="22"/>
        </w:rPr>
      </w:pPr>
      <w:r w:rsidRPr="00A23137">
        <w:rPr>
          <w:rFonts w:asciiTheme="minorHAnsi" w:hAnsiTheme="minorHAnsi" w:cstheme="minorHAnsi"/>
          <w:sz w:val="22"/>
          <w:szCs w:val="22"/>
        </w:rPr>
        <w:t xml:space="preserve">Overall, 15% of respondents stated that they </w:t>
      </w:r>
      <w:r w:rsidR="001E0ABF">
        <w:rPr>
          <w:rFonts w:asciiTheme="minorHAnsi" w:hAnsiTheme="minorHAnsi" w:cstheme="minorHAnsi"/>
          <w:sz w:val="22"/>
          <w:szCs w:val="22"/>
        </w:rPr>
        <w:t xml:space="preserve">had </w:t>
      </w:r>
      <w:r w:rsidRPr="00A23137">
        <w:rPr>
          <w:rFonts w:asciiTheme="minorHAnsi" w:hAnsiTheme="minorHAnsi" w:cstheme="minorHAnsi"/>
          <w:sz w:val="22"/>
          <w:szCs w:val="22"/>
        </w:rPr>
        <w:t>needed to cut down on normal day-to-day activities at some stage over the two weeks</w:t>
      </w:r>
      <w:r w:rsidR="001E0ABF">
        <w:rPr>
          <w:rFonts w:asciiTheme="minorHAnsi" w:hAnsiTheme="minorHAnsi" w:cstheme="minorHAnsi"/>
          <w:sz w:val="22"/>
          <w:szCs w:val="22"/>
        </w:rPr>
        <w:t xml:space="preserve"> prior to being surveyed</w:t>
      </w:r>
      <w:r w:rsidR="00C2360B">
        <w:rPr>
          <w:rFonts w:asciiTheme="minorHAnsi" w:hAnsiTheme="minorHAnsi" w:cstheme="minorHAnsi"/>
          <w:sz w:val="22"/>
          <w:szCs w:val="22"/>
        </w:rPr>
        <w:t xml:space="preserve"> due to illness</w:t>
      </w:r>
      <w:r w:rsidRPr="00A23137">
        <w:rPr>
          <w:rFonts w:asciiTheme="minorHAnsi" w:hAnsiTheme="minorHAnsi" w:cstheme="minorHAnsi"/>
          <w:sz w:val="22"/>
          <w:szCs w:val="22"/>
        </w:rPr>
        <w:t xml:space="preserve">.  </w:t>
      </w:r>
      <w:r>
        <w:rPr>
          <w:rFonts w:asciiTheme="minorHAnsi" w:hAnsiTheme="minorHAnsi" w:cstheme="minorHAnsi"/>
          <w:sz w:val="22"/>
          <w:szCs w:val="22"/>
        </w:rPr>
        <w:t>This was more likely to be the case for those respondents with a longstanding illness (33%) than those with</w:t>
      </w:r>
      <w:r w:rsidR="001E0ABF">
        <w:rPr>
          <w:rFonts w:asciiTheme="minorHAnsi" w:hAnsiTheme="minorHAnsi" w:cstheme="minorHAnsi"/>
          <w:sz w:val="22"/>
          <w:szCs w:val="22"/>
        </w:rPr>
        <w:t>out a</w:t>
      </w:r>
      <w:r>
        <w:rPr>
          <w:rFonts w:asciiTheme="minorHAnsi" w:hAnsiTheme="minorHAnsi" w:cstheme="minorHAnsi"/>
          <w:sz w:val="22"/>
          <w:szCs w:val="22"/>
        </w:rPr>
        <w:t xml:space="preserve"> longstanding illness (5%).  </w:t>
      </w:r>
      <w:r w:rsidR="000807F8">
        <w:rPr>
          <w:rFonts w:asciiTheme="minorHAnsi" w:hAnsiTheme="minorHAnsi" w:cstheme="minorHAnsi"/>
          <w:sz w:val="22"/>
          <w:szCs w:val="22"/>
        </w:rPr>
        <w:t xml:space="preserve">Almost a quarter of those with a longstanding illness (23%) had to </w:t>
      </w:r>
      <w:r w:rsidR="000807F8" w:rsidRPr="00A23137">
        <w:rPr>
          <w:rFonts w:asciiTheme="minorHAnsi" w:hAnsiTheme="minorHAnsi" w:cstheme="minorHAnsi"/>
          <w:sz w:val="22"/>
          <w:szCs w:val="22"/>
        </w:rPr>
        <w:t xml:space="preserve">cut down on </w:t>
      </w:r>
      <w:r w:rsidR="001E0ABF">
        <w:rPr>
          <w:rFonts w:asciiTheme="minorHAnsi" w:hAnsiTheme="minorHAnsi" w:cstheme="minorHAnsi"/>
          <w:sz w:val="22"/>
          <w:szCs w:val="22"/>
        </w:rPr>
        <w:t xml:space="preserve">their </w:t>
      </w:r>
      <w:r w:rsidR="000807F8" w:rsidRPr="00A23137">
        <w:rPr>
          <w:rFonts w:asciiTheme="minorHAnsi" w:hAnsiTheme="minorHAnsi" w:cstheme="minorHAnsi"/>
          <w:sz w:val="22"/>
          <w:szCs w:val="22"/>
        </w:rPr>
        <w:t xml:space="preserve">normal day-to-day activities </w:t>
      </w:r>
      <w:r w:rsidR="001E0ABF">
        <w:rPr>
          <w:rFonts w:asciiTheme="minorHAnsi" w:hAnsiTheme="minorHAnsi" w:cstheme="minorHAnsi"/>
          <w:sz w:val="22"/>
          <w:szCs w:val="22"/>
        </w:rPr>
        <w:t xml:space="preserve">on </w:t>
      </w:r>
      <w:r w:rsidR="000807F8">
        <w:rPr>
          <w:rFonts w:asciiTheme="minorHAnsi" w:hAnsiTheme="minorHAnsi" w:cstheme="minorHAnsi"/>
          <w:sz w:val="22"/>
          <w:szCs w:val="22"/>
        </w:rPr>
        <w:t>every day</w:t>
      </w:r>
      <w:r w:rsidR="000807F8" w:rsidRPr="00A23137">
        <w:rPr>
          <w:rFonts w:asciiTheme="minorHAnsi" w:hAnsiTheme="minorHAnsi" w:cstheme="minorHAnsi"/>
          <w:sz w:val="22"/>
          <w:szCs w:val="22"/>
        </w:rPr>
        <w:t xml:space="preserve"> over the </w:t>
      </w:r>
      <w:r w:rsidR="001E0ABF">
        <w:rPr>
          <w:rFonts w:asciiTheme="minorHAnsi" w:hAnsiTheme="minorHAnsi" w:cstheme="minorHAnsi"/>
          <w:sz w:val="22"/>
          <w:szCs w:val="22"/>
        </w:rPr>
        <w:t>prior</w:t>
      </w:r>
      <w:r w:rsidR="000807F8" w:rsidRPr="00A23137">
        <w:rPr>
          <w:rFonts w:asciiTheme="minorHAnsi" w:hAnsiTheme="minorHAnsi" w:cstheme="minorHAnsi"/>
          <w:sz w:val="22"/>
          <w:szCs w:val="22"/>
        </w:rPr>
        <w:t xml:space="preserve"> two weeks</w:t>
      </w:r>
      <w:r w:rsidR="000807F8">
        <w:rPr>
          <w:rFonts w:asciiTheme="minorHAnsi" w:hAnsiTheme="minorHAnsi" w:cstheme="minorHAnsi"/>
          <w:sz w:val="22"/>
          <w:szCs w:val="22"/>
        </w:rPr>
        <w:t>.</w:t>
      </w:r>
    </w:p>
    <w:p w:rsidR="00E82339" w:rsidRPr="006E3E56" w:rsidRDefault="00E82339"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 xml:space="preserve">Discussion about Long Standing Illness with GP / Nurse over last Year </w:t>
      </w:r>
    </w:p>
    <w:p w:rsidR="00E82339" w:rsidRDefault="00E82339"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More than two-thirds of respondents (69%) who had a longstanding illness </w:t>
      </w:r>
      <w:r w:rsidRPr="00791230">
        <w:rPr>
          <w:rFonts w:asciiTheme="minorHAnsi" w:hAnsiTheme="minorHAnsi" w:cstheme="minorHAnsi"/>
          <w:sz w:val="22"/>
          <w:szCs w:val="22"/>
        </w:rPr>
        <w:t>had</w:t>
      </w:r>
      <w:r>
        <w:rPr>
          <w:rFonts w:asciiTheme="minorHAnsi" w:hAnsiTheme="minorHAnsi" w:cstheme="minorHAnsi"/>
          <w:sz w:val="22"/>
          <w:szCs w:val="22"/>
        </w:rPr>
        <w:t xml:space="preserve"> a discussion with their doctor or nurse on how best to deal with their health problem over the last year.  </w:t>
      </w:r>
      <w:r w:rsidR="00C5682B">
        <w:rPr>
          <w:rFonts w:asciiTheme="minorHAnsi" w:hAnsiTheme="minorHAnsi" w:cstheme="minorHAnsi"/>
          <w:sz w:val="22"/>
          <w:szCs w:val="22"/>
        </w:rPr>
        <w:t xml:space="preserve">The majority </w:t>
      </w:r>
      <w:r w:rsidR="00C2360B">
        <w:rPr>
          <w:rFonts w:asciiTheme="minorHAnsi" w:hAnsiTheme="minorHAnsi" w:cstheme="minorHAnsi"/>
          <w:sz w:val="22"/>
          <w:szCs w:val="22"/>
        </w:rPr>
        <w:t xml:space="preserve">of respondents </w:t>
      </w:r>
      <w:r w:rsidR="00C5682B">
        <w:rPr>
          <w:rFonts w:asciiTheme="minorHAnsi" w:hAnsiTheme="minorHAnsi" w:cstheme="minorHAnsi"/>
          <w:sz w:val="22"/>
          <w:szCs w:val="22"/>
        </w:rPr>
        <w:t>said that the doctor / nurse had given the</w:t>
      </w:r>
      <w:r w:rsidR="00C2360B">
        <w:rPr>
          <w:rFonts w:asciiTheme="minorHAnsi" w:hAnsiTheme="minorHAnsi" w:cstheme="minorHAnsi"/>
          <w:sz w:val="22"/>
          <w:szCs w:val="22"/>
        </w:rPr>
        <w:t>m</w:t>
      </w:r>
      <w:r w:rsidR="00C5682B">
        <w:rPr>
          <w:rFonts w:asciiTheme="minorHAnsi" w:hAnsiTheme="minorHAnsi" w:cstheme="minorHAnsi"/>
          <w:sz w:val="22"/>
          <w:szCs w:val="22"/>
        </w:rPr>
        <w:t xml:space="preserve"> information on things that they could do to improve their condition (90%), said that the doctor / nurse took notice of their views (88%) and agreed on how to deal with their problem (89%).  </w:t>
      </w:r>
      <w:r>
        <w:rPr>
          <w:rFonts w:asciiTheme="minorHAnsi" w:hAnsiTheme="minorHAnsi" w:cstheme="minorHAnsi"/>
          <w:sz w:val="22"/>
          <w:szCs w:val="22"/>
        </w:rPr>
        <w:t>Over four-fifths (83%) felt the discussion had helped improve how their health problem was managed.</w:t>
      </w:r>
      <w:r w:rsidR="00C5682B">
        <w:rPr>
          <w:rFonts w:asciiTheme="minorHAnsi" w:hAnsiTheme="minorHAnsi" w:cstheme="minorHAnsi"/>
          <w:sz w:val="22"/>
          <w:szCs w:val="22"/>
        </w:rPr>
        <w:t xml:space="preserve">  </w:t>
      </w:r>
    </w:p>
    <w:p w:rsidR="00E545A9" w:rsidRDefault="00E545A9" w:rsidP="009F2918">
      <w:pPr>
        <w:tabs>
          <w:tab w:val="left" w:pos="-180"/>
        </w:tabs>
        <w:suppressAutoHyphens/>
        <w:spacing w:before="240" w:after="120"/>
        <w:rPr>
          <w:rFonts w:asciiTheme="minorHAnsi" w:hAnsiTheme="minorHAnsi" w:cstheme="minorHAnsi"/>
          <w:b/>
          <w:color w:val="009999"/>
          <w:sz w:val="24"/>
          <w:szCs w:val="24"/>
        </w:rPr>
      </w:pPr>
      <w:bookmarkStart w:id="19" w:name="_Ref381945784"/>
    </w:p>
    <w:p w:rsidR="002644EC" w:rsidRPr="006E3E56" w:rsidRDefault="00C83037" w:rsidP="009F2918">
      <w:pPr>
        <w:tabs>
          <w:tab w:val="left" w:pos="-180"/>
        </w:tabs>
        <w:suppressAutoHyphens/>
        <w:spacing w:before="240" w:after="120"/>
        <w:rPr>
          <w:rFonts w:asciiTheme="minorHAnsi" w:hAnsiTheme="minorHAnsi" w:cstheme="minorHAnsi"/>
          <w:b/>
          <w:color w:val="009999"/>
          <w:sz w:val="24"/>
          <w:szCs w:val="24"/>
        </w:rPr>
      </w:pPr>
      <w:r w:rsidRPr="006E3E56">
        <w:rPr>
          <w:rFonts w:asciiTheme="minorHAnsi" w:hAnsiTheme="minorHAnsi" w:cstheme="minorHAnsi"/>
          <w:b/>
          <w:color w:val="009999"/>
          <w:sz w:val="24"/>
          <w:szCs w:val="24"/>
        </w:rPr>
        <w:t>Self-Assessed Health State</w:t>
      </w:r>
      <w:bookmarkEnd w:id="19"/>
    </w:p>
    <w:p w:rsidR="002644EC" w:rsidRDefault="00C83037"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Respondents were asked to self-complete t</w:t>
      </w:r>
      <w:r w:rsidR="002644EC" w:rsidRPr="002644EC">
        <w:rPr>
          <w:rFonts w:asciiTheme="minorHAnsi" w:hAnsiTheme="minorHAnsi" w:cstheme="minorHAnsi"/>
          <w:sz w:val="22"/>
          <w:szCs w:val="22"/>
        </w:rPr>
        <w:t>he EQ-5D</w:t>
      </w:r>
      <w:r>
        <w:rPr>
          <w:rFonts w:asciiTheme="minorHAnsi" w:hAnsiTheme="minorHAnsi" w:cstheme="minorHAnsi"/>
          <w:sz w:val="22"/>
          <w:szCs w:val="22"/>
        </w:rPr>
        <w:t>, which</w:t>
      </w:r>
      <w:r w:rsidR="002644EC" w:rsidRPr="002644EC">
        <w:rPr>
          <w:rFonts w:asciiTheme="minorHAnsi" w:hAnsiTheme="minorHAnsi" w:cstheme="minorHAnsi"/>
          <w:sz w:val="22"/>
          <w:szCs w:val="22"/>
        </w:rPr>
        <w:t xml:space="preserve"> is a </w:t>
      </w:r>
      <w:r>
        <w:rPr>
          <w:rFonts w:asciiTheme="minorHAnsi" w:hAnsiTheme="minorHAnsi" w:cstheme="minorHAnsi"/>
          <w:sz w:val="22"/>
          <w:szCs w:val="22"/>
        </w:rPr>
        <w:t xml:space="preserve">short </w:t>
      </w:r>
      <w:r w:rsidR="002644EC" w:rsidRPr="002644EC">
        <w:rPr>
          <w:rFonts w:asciiTheme="minorHAnsi" w:hAnsiTheme="minorHAnsi" w:cstheme="minorHAnsi"/>
          <w:sz w:val="22"/>
          <w:szCs w:val="22"/>
        </w:rPr>
        <w:t xml:space="preserve">health questionnaire </w:t>
      </w:r>
      <w:r>
        <w:rPr>
          <w:rFonts w:asciiTheme="minorHAnsi" w:hAnsiTheme="minorHAnsi" w:cstheme="minorHAnsi"/>
          <w:sz w:val="22"/>
          <w:szCs w:val="22"/>
        </w:rPr>
        <w:t>that</w:t>
      </w:r>
      <w:r w:rsidR="002644EC" w:rsidRPr="002644EC">
        <w:rPr>
          <w:rFonts w:asciiTheme="minorHAnsi" w:hAnsiTheme="minorHAnsi" w:cstheme="minorHAnsi"/>
          <w:sz w:val="22"/>
          <w:szCs w:val="22"/>
        </w:rPr>
        <w:t xml:space="preserve"> looks at quality of life in relation to </w:t>
      </w:r>
      <w:r w:rsidR="00A713ED">
        <w:rPr>
          <w:rFonts w:asciiTheme="minorHAnsi" w:hAnsiTheme="minorHAnsi" w:cstheme="minorHAnsi"/>
          <w:sz w:val="22"/>
          <w:szCs w:val="22"/>
        </w:rPr>
        <w:t>five</w:t>
      </w:r>
      <w:r w:rsidR="002644EC" w:rsidRPr="002644EC">
        <w:rPr>
          <w:rFonts w:asciiTheme="minorHAnsi" w:hAnsiTheme="minorHAnsi" w:cstheme="minorHAnsi"/>
          <w:sz w:val="22"/>
          <w:szCs w:val="22"/>
        </w:rPr>
        <w:t xml:space="preserve"> dimensions: agility and mobility; the ability to care for themselves; everyday activities (e</w:t>
      </w:r>
      <w:r w:rsidR="002644EC">
        <w:rPr>
          <w:rFonts w:asciiTheme="minorHAnsi" w:hAnsiTheme="minorHAnsi" w:cstheme="minorHAnsi"/>
          <w:sz w:val="22"/>
          <w:szCs w:val="22"/>
        </w:rPr>
        <w:t>.</w:t>
      </w:r>
      <w:r w:rsidR="002644EC" w:rsidRPr="002644EC">
        <w:rPr>
          <w:rFonts w:asciiTheme="minorHAnsi" w:hAnsiTheme="minorHAnsi" w:cstheme="minorHAnsi"/>
          <w:sz w:val="22"/>
          <w:szCs w:val="22"/>
        </w:rPr>
        <w:t>g</w:t>
      </w:r>
      <w:r w:rsidR="002644EC">
        <w:rPr>
          <w:rFonts w:asciiTheme="minorHAnsi" w:hAnsiTheme="minorHAnsi" w:cstheme="minorHAnsi"/>
          <w:sz w:val="22"/>
          <w:szCs w:val="22"/>
        </w:rPr>
        <w:t>.</w:t>
      </w:r>
      <w:r w:rsidR="002644EC" w:rsidRPr="002644EC">
        <w:rPr>
          <w:rFonts w:asciiTheme="minorHAnsi" w:hAnsiTheme="minorHAnsi" w:cstheme="minorHAnsi"/>
          <w:sz w:val="22"/>
          <w:szCs w:val="22"/>
        </w:rPr>
        <w:t xml:space="preserve"> work, study, household, family, leisure); pain and physical discomfort; and anxiety and depression. The following section looks at </w:t>
      </w:r>
      <w:r>
        <w:rPr>
          <w:rFonts w:asciiTheme="minorHAnsi" w:hAnsiTheme="minorHAnsi" w:cstheme="minorHAnsi"/>
          <w:sz w:val="22"/>
          <w:szCs w:val="22"/>
        </w:rPr>
        <w:t xml:space="preserve">each of </w:t>
      </w:r>
      <w:r w:rsidR="002644EC" w:rsidRPr="002644EC">
        <w:rPr>
          <w:rFonts w:asciiTheme="minorHAnsi" w:hAnsiTheme="minorHAnsi" w:cstheme="minorHAnsi"/>
          <w:sz w:val="22"/>
          <w:szCs w:val="22"/>
        </w:rPr>
        <w:t>these dimensions separately.</w:t>
      </w:r>
    </w:p>
    <w:p w:rsidR="00A25AFF" w:rsidRDefault="00A25AFF" w:rsidP="002729FE">
      <w:pPr>
        <w:tabs>
          <w:tab w:val="left" w:pos="-180"/>
        </w:tabs>
        <w:suppressAutoHyphens/>
        <w:spacing w:before="80" w:after="40"/>
        <w:rPr>
          <w:rFonts w:asciiTheme="minorHAnsi" w:hAnsiTheme="minorHAnsi" w:cstheme="minorHAnsi"/>
          <w:b/>
          <w:color w:val="009999"/>
          <w:sz w:val="22"/>
          <w:szCs w:val="22"/>
        </w:rPr>
      </w:pPr>
    </w:p>
    <w:p w:rsidR="00A25AFF" w:rsidRDefault="00A25AFF" w:rsidP="002729FE">
      <w:pPr>
        <w:tabs>
          <w:tab w:val="left" w:pos="-180"/>
        </w:tabs>
        <w:suppressAutoHyphens/>
        <w:spacing w:before="80" w:after="40"/>
        <w:rPr>
          <w:rFonts w:asciiTheme="minorHAnsi" w:hAnsiTheme="minorHAnsi" w:cstheme="minorHAnsi"/>
          <w:b/>
          <w:color w:val="009999"/>
          <w:sz w:val="22"/>
          <w:szCs w:val="22"/>
        </w:rPr>
      </w:pPr>
    </w:p>
    <w:p w:rsidR="00411D1D" w:rsidRPr="006E3E56" w:rsidRDefault="00411D1D"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lastRenderedPageBreak/>
        <w:t>Agility and Mobility</w:t>
      </w:r>
    </w:p>
    <w:p w:rsidR="00411D1D" w:rsidRDefault="00C83037" w:rsidP="00A25AFF">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Almost f</w:t>
      </w:r>
      <w:r w:rsidR="00411D1D">
        <w:rPr>
          <w:rFonts w:asciiTheme="minorHAnsi" w:hAnsiTheme="minorHAnsi" w:cstheme="minorHAnsi"/>
          <w:sz w:val="22"/>
          <w:szCs w:val="22"/>
        </w:rPr>
        <w:t>our-fifths of respondents (79%) had no problem walking about, while one-fifth (20%) had some problems walking about and 1% were confined to bed.</w:t>
      </w:r>
    </w:p>
    <w:p w:rsidR="00411D1D" w:rsidRPr="006E3E56" w:rsidRDefault="004D4A5B"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Self-</w:t>
      </w:r>
      <w:r w:rsidR="00411D1D" w:rsidRPr="006E3E56">
        <w:rPr>
          <w:rFonts w:asciiTheme="minorHAnsi" w:hAnsiTheme="minorHAnsi" w:cstheme="minorHAnsi"/>
          <w:b/>
          <w:color w:val="009999"/>
          <w:sz w:val="22"/>
          <w:szCs w:val="22"/>
        </w:rPr>
        <w:t xml:space="preserve">Care </w:t>
      </w:r>
    </w:p>
    <w:p w:rsidR="00411D1D" w:rsidRDefault="003234BF" w:rsidP="00A25AFF">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The majority of respondents (89%) had no problems with self-care, while 10% had some problems with self-care and 1% were unable to wash or dress themselves.</w:t>
      </w:r>
    </w:p>
    <w:p w:rsidR="00411D1D" w:rsidRPr="006E3E56" w:rsidRDefault="00411D1D"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 xml:space="preserve">Everyday Activities </w:t>
      </w:r>
    </w:p>
    <w:p w:rsidR="003234BF" w:rsidRDefault="003234BF" w:rsidP="00A25AFF">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Four-fifths of respondents (7</w:t>
      </w:r>
      <w:r w:rsidR="00E978A9">
        <w:rPr>
          <w:rFonts w:asciiTheme="minorHAnsi" w:hAnsiTheme="minorHAnsi" w:cstheme="minorHAnsi"/>
          <w:sz w:val="22"/>
          <w:szCs w:val="22"/>
        </w:rPr>
        <w:t>8</w:t>
      </w:r>
      <w:r>
        <w:rPr>
          <w:rFonts w:asciiTheme="minorHAnsi" w:hAnsiTheme="minorHAnsi" w:cstheme="minorHAnsi"/>
          <w:sz w:val="22"/>
          <w:szCs w:val="22"/>
        </w:rPr>
        <w:t xml:space="preserve">%) had no problem performing their usual activities, while </w:t>
      </w:r>
      <w:r w:rsidR="00C83037">
        <w:rPr>
          <w:rFonts w:asciiTheme="minorHAnsi" w:hAnsiTheme="minorHAnsi" w:cstheme="minorHAnsi"/>
          <w:sz w:val="22"/>
          <w:szCs w:val="22"/>
        </w:rPr>
        <w:t xml:space="preserve">nearly </w:t>
      </w:r>
      <w:r>
        <w:rPr>
          <w:rFonts w:asciiTheme="minorHAnsi" w:hAnsiTheme="minorHAnsi" w:cstheme="minorHAnsi"/>
          <w:sz w:val="22"/>
          <w:szCs w:val="22"/>
        </w:rPr>
        <w:t>one-fifth (18%) had some problems and 4% were unable to perform their usual activities.</w:t>
      </w:r>
    </w:p>
    <w:p w:rsidR="00411D1D" w:rsidRPr="006E3E56" w:rsidRDefault="00411D1D"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Pain and Physical Discomfort</w:t>
      </w:r>
    </w:p>
    <w:p w:rsidR="003234BF" w:rsidRDefault="003234BF" w:rsidP="00A25AFF">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 xml:space="preserve">Two-thirds of respondents (65%) experienced no pain or discomfort, while </w:t>
      </w:r>
      <w:r w:rsidR="00C83037">
        <w:rPr>
          <w:rFonts w:asciiTheme="minorHAnsi" w:hAnsiTheme="minorHAnsi" w:cstheme="minorHAnsi"/>
          <w:sz w:val="22"/>
          <w:szCs w:val="22"/>
        </w:rPr>
        <w:t>more than a quarter</w:t>
      </w:r>
      <w:r>
        <w:rPr>
          <w:rFonts w:asciiTheme="minorHAnsi" w:hAnsiTheme="minorHAnsi" w:cstheme="minorHAnsi"/>
          <w:sz w:val="22"/>
          <w:szCs w:val="22"/>
        </w:rPr>
        <w:t xml:space="preserve"> (28%) had moderate pain or discomfort and 8% had extreme pain or discomfort.</w:t>
      </w:r>
    </w:p>
    <w:p w:rsidR="00A713ED" w:rsidRPr="006E3E56" w:rsidRDefault="00411D1D"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Anxiety and Depression</w:t>
      </w:r>
    </w:p>
    <w:p w:rsidR="003234BF" w:rsidRDefault="003234BF" w:rsidP="00A25AFF">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 xml:space="preserve">Three-quarters of respondents (74%) were not anxious or depressed, while one-fifth (20%) experienced moderate anxiety or depression and </w:t>
      </w:r>
      <w:r w:rsidR="007E5F1A">
        <w:rPr>
          <w:rFonts w:asciiTheme="minorHAnsi" w:hAnsiTheme="minorHAnsi" w:cstheme="minorHAnsi"/>
          <w:sz w:val="22"/>
          <w:szCs w:val="22"/>
        </w:rPr>
        <w:t>6</w:t>
      </w:r>
      <w:r>
        <w:rPr>
          <w:rFonts w:asciiTheme="minorHAnsi" w:hAnsiTheme="minorHAnsi" w:cstheme="minorHAnsi"/>
          <w:sz w:val="22"/>
          <w:szCs w:val="22"/>
        </w:rPr>
        <w:t xml:space="preserve">% had extreme </w:t>
      </w:r>
      <w:r w:rsidR="007E5F1A">
        <w:rPr>
          <w:rFonts w:asciiTheme="minorHAnsi" w:hAnsiTheme="minorHAnsi" w:cstheme="minorHAnsi"/>
          <w:sz w:val="22"/>
          <w:szCs w:val="22"/>
        </w:rPr>
        <w:t>anxiety or depression</w:t>
      </w:r>
      <w:r>
        <w:rPr>
          <w:rFonts w:asciiTheme="minorHAnsi" w:hAnsiTheme="minorHAnsi" w:cstheme="minorHAnsi"/>
          <w:sz w:val="22"/>
          <w:szCs w:val="22"/>
        </w:rPr>
        <w:t>.</w:t>
      </w:r>
    </w:p>
    <w:p w:rsidR="000A3A49" w:rsidRPr="006E3E56" w:rsidRDefault="00C83037" w:rsidP="00A25AFF">
      <w:pPr>
        <w:tabs>
          <w:tab w:val="left" w:pos="-180"/>
        </w:tabs>
        <w:suppressAutoHyphens/>
        <w:spacing w:after="120"/>
        <w:rPr>
          <w:rFonts w:asciiTheme="minorHAnsi" w:hAnsiTheme="minorHAnsi" w:cstheme="minorHAnsi"/>
          <w:b/>
          <w:color w:val="009999"/>
          <w:sz w:val="22"/>
          <w:szCs w:val="22"/>
        </w:rPr>
      </w:pPr>
      <w:r w:rsidRPr="006E3E56">
        <w:rPr>
          <w:rFonts w:asciiTheme="minorHAnsi" w:hAnsiTheme="minorHAnsi" w:cstheme="minorHAnsi"/>
          <w:b/>
          <w:color w:val="009999"/>
          <w:sz w:val="22"/>
          <w:szCs w:val="22"/>
        </w:rPr>
        <w:t>Self-Assessed Health State</w:t>
      </w:r>
      <w:r w:rsidR="003E3B40" w:rsidRPr="006E3E56">
        <w:rPr>
          <w:rFonts w:asciiTheme="minorHAnsi" w:hAnsiTheme="minorHAnsi" w:cstheme="minorHAnsi"/>
          <w:b/>
          <w:color w:val="009999"/>
          <w:sz w:val="22"/>
          <w:szCs w:val="22"/>
        </w:rPr>
        <w:t xml:space="preserve"> by Age</w:t>
      </w:r>
    </w:p>
    <w:p w:rsidR="003E3B40" w:rsidRDefault="003E3B40" w:rsidP="009F2918">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With the exception of anxiety and depression, for all the elements within EQ-5D the proportion experiencing problems </w:t>
      </w:r>
      <w:r w:rsidR="00C83037">
        <w:rPr>
          <w:rFonts w:asciiTheme="minorHAnsi" w:hAnsiTheme="minorHAnsi" w:cstheme="minorHAnsi"/>
          <w:sz w:val="22"/>
          <w:szCs w:val="22"/>
        </w:rPr>
        <w:t xml:space="preserve">noticeably </w:t>
      </w:r>
      <w:r>
        <w:rPr>
          <w:rFonts w:asciiTheme="minorHAnsi" w:hAnsiTheme="minorHAnsi" w:cstheme="minorHAnsi"/>
          <w:sz w:val="22"/>
          <w:szCs w:val="22"/>
        </w:rPr>
        <w:t>increased with age with those in the 75 and over age-group much more likely to experience problems than those in the 16-24 age-group.</w:t>
      </w:r>
    </w:p>
    <w:p w:rsidR="003E3B40" w:rsidRDefault="003E3B40" w:rsidP="003234BF">
      <w:pPr>
        <w:tabs>
          <w:tab w:val="center" w:pos="4075"/>
        </w:tabs>
        <w:autoSpaceDE w:val="0"/>
        <w:autoSpaceDN w:val="0"/>
        <w:adjustRightInd w:val="0"/>
        <w:spacing w:after="120"/>
        <w:rPr>
          <w:rFonts w:asciiTheme="minorHAnsi" w:hAnsiTheme="minorHAnsi" w:cstheme="minorHAnsi"/>
          <w:sz w:val="22"/>
          <w:szCs w:val="22"/>
        </w:rPr>
      </w:pPr>
      <w:r w:rsidRPr="003E3B40">
        <w:rPr>
          <w:rFonts w:asciiTheme="minorHAnsi" w:hAnsiTheme="minorHAnsi" w:cstheme="minorHAnsi"/>
          <w:noProof/>
          <w:sz w:val="22"/>
          <w:szCs w:val="22"/>
          <w:lang w:val="en-IE" w:eastAsia="en-IE"/>
        </w:rPr>
        <w:lastRenderedPageBreak/>
        <w:drawing>
          <wp:inline distT="0" distB="0" distL="0" distR="0">
            <wp:extent cx="4324350" cy="2340000"/>
            <wp:effectExtent l="19050" t="0" r="0" b="0"/>
            <wp:docPr id="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3B40" w:rsidRDefault="00A25AFF" w:rsidP="00A25AFF">
      <w:pPr>
        <w:tabs>
          <w:tab w:val="left" w:pos="-180"/>
        </w:tabs>
        <w:suppressAutoHyphens/>
        <w:spacing w:before="240" w:after="360" w:line="288" w:lineRule="auto"/>
        <w:rPr>
          <w:rFonts w:asciiTheme="minorHAnsi" w:hAnsiTheme="minorHAnsi" w:cstheme="minorHAnsi"/>
          <w:sz w:val="22"/>
          <w:szCs w:val="22"/>
        </w:rPr>
      </w:pPr>
      <w:r>
        <w:rPr>
          <w:rFonts w:asciiTheme="minorHAnsi" w:hAnsiTheme="minorHAnsi" w:cstheme="minorHAnsi"/>
          <w:sz w:val="22"/>
          <w:szCs w:val="22"/>
        </w:rPr>
        <w:t>T</w:t>
      </w:r>
      <w:r w:rsidR="00C7530B">
        <w:rPr>
          <w:rFonts w:asciiTheme="minorHAnsi" w:hAnsiTheme="minorHAnsi" w:cstheme="minorHAnsi"/>
          <w:sz w:val="22"/>
          <w:szCs w:val="22"/>
        </w:rPr>
        <w:t xml:space="preserve">he proportion of those experiencing moderate or extreme anxiety or depression </w:t>
      </w:r>
      <w:r w:rsidR="006577C6">
        <w:rPr>
          <w:rFonts w:asciiTheme="minorHAnsi" w:hAnsiTheme="minorHAnsi" w:cstheme="minorHAnsi"/>
          <w:sz w:val="22"/>
          <w:szCs w:val="22"/>
        </w:rPr>
        <w:t xml:space="preserve">rose from </w:t>
      </w:r>
      <w:r w:rsidR="00C83037">
        <w:rPr>
          <w:rFonts w:asciiTheme="minorHAnsi" w:hAnsiTheme="minorHAnsi" w:cstheme="minorHAnsi"/>
          <w:sz w:val="22"/>
          <w:szCs w:val="22"/>
        </w:rPr>
        <w:t xml:space="preserve">a </w:t>
      </w:r>
      <w:r w:rsidR="006577C6">
        <w:rPr>
          <w:rFonts w:asciiTheme="minorHAnsi" w:hAnsiTheme="minorHAnsi" w:cstheme="minorHAnsi"/>
          <w:sz w:val="22"/>
          <w:szCs w:val="22"/>
        </w:rPr>
        <w:t xml:space="preserve">fifth of those aged 16-24 and peaked at the age 45-54 (34%) </w:t>
      </w:r>
      <w:r w:rsidR="00C62A10">
        <w:rPr>
          <w:rFonts w:asciiTheme="minorHAnsi" w:hAnsiTheme="minorHAnsi" w:cstheme="minorHAnsi"/>
          <w:sz w:val="22"/>
          <w:szCs w:val="22"/>
        </w:rPr>
        <w:t>before falling</w:t>
      </w:r>
      <w:r w:rsidR="006577C6">
        <w:rPr>
          <w:rFonts w:asciiTheme="minorHAnsi" w:hAnsiTheme="minorHAnsi" w:cstheme="minorHAnsi"/>
          <w:sz w:val="22"/>
          <w:szCs w:val="22"/>
        </w:rPr>
        <w:t xml:space="preserve"> to </w:t>
      </w:r>
      <w:r w:rsidR="00B56360">
        <w:rPr>
          <w:rFonts w:asciiTheme="minorHAnsi" w:hAnsiTheme="minorHAnsi" w:cstheme="minorHAnsi"/>
          <w:sz w:val="22"/>
          <w:szCs w:val="22"/>
        </w:rPr>
        <w:t>a quarter</w:t>
      </w:r>
      <w:r w:rsidR="006577C6">
        <w:rPr>
          <w:rFonts w:asciiTheme="minorHAnsi" w:hAnsiTheme="minorHAnsi" w:cstheme="minorHAnsi"/>
          <w:sz w:val="22"/>
          <w:szCs w:val="22"/>
        </w:rPr>
        <w:t xml:space="preserve"> of those aged 75 and over.</w:t>
      </w:r>
    </w:p>
    <w:p w:rsidR="00C7530B" w:rsidRDefault="00C7530B" w:rsidP="003234BF">
      <w:pPr>
        <w:tabs>
          <w:tab w:val="center" w:pos="4075"/>
        </w:tabs>
        <w:autoSpaceDE w:val="0"/>
        <w:autoSpaceDN w:val="0"/>
        <w:adjustRightInd w:val="0"/>
        <w:spacing w:after="120"/>
        <w:rPr>
          <w:rFonts w:asciiTheme="minorHAnsi" w:hAnsiTheme="minorHAnsi" w:cstheme="minorHAnsi"/>
          <w:sz w:val="22"/>
          <w:szCs w:val="22"/>
        </w:rPr>
      </w:pPr>
      <w:r w:rsidRPr="00C7530B">
        <w:rPr>
          <w:rFonts w:asciiTheme="minorHAnsi" w:hAnsiTheme="minorHAnsi" w:cstheme="minorHAnsi"/>
          <w:noProof/>
          <w:sz w:val="22"/>
          <w:szCs w:val="22"/>
          <w:lang w:val="en-IE" w:eastAsia="en-IE"/>
        </w:rPr>
        <w:drawing>
          <wp:inline distT="0" distB="0" distL="0" distR="0">
            <wp:extent cx="4324350" cy="2340000"/>
            <wp:effectExtent l="0" t="0" r="0" b="0"/>
            <wp:docPr id="6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5AFF" w:rsidRDefault="006577C6" w:rsidP="00A25AFF">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For all the elements within EQ-5D, those in the most deprived areas were more likely to experience problems than those in the least deprived areas.</w:t>
      </w:r>
    </w:p>
    <w:p w:rsidR="003E3B40" w:rsidRPr="00DF5F56" w:rsidRDefault="003E3B40" w:rsidP="00DF5F56">
      <w:pPr>
        <w:tabs>
          <w:tab w:val="left" w:pos="-180"/>
        </w:tabs>
        <w:suppressAutoHyphens/>
        <w:spacing w:after="120" w:line="288" w:lineRule="auto"/>
        <w:rPr>
          <w:rFonts w:asciiTheme="minorHAnsi" w:hAnsiTheme="minorHAnsi" w:cstheme="minorHAnsi"/>
          <w:b/>
          <w:color w:val="4F81BD" w:themeColor="accent1"/>
          <w:sz w:val="22"/>
          <w:szCs w:val="22"/>
        </w:rPr>
      </w:pPr>
      <w:r w:rsidRPr="003E3B40">
        <w:rPr>
          <w:rFonts w:asciiTheme="minorHAnsi" w:hAnsiTheme="minorHAnsi" w:cstheme="minorHAnsi"/>
          <w:b/>
          <w:noProof/>
          <w:color w:val="4F81BD" w:themeColor="accent1"/>
          <w:sz w:val="22"/>
          <w:szCs w:val="22"/>
          <w:lang w:val="en-IE" w:eastAsia="en-IE"/>
        </w:rPr>
        <w:lastRenderedPageBreak/>
        <w:drawing>
          <wp:inline distT="0" distB="0" distL="0" distR="0">
            <wp:extent cx="4324350" cy="2160000"/>
            <wp:effectExtent l="0" t="0" r="0" b="0"/>
            <wp:docPr id="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F5778" w:rsidRPr="005F5778">
        <w:rPr>
          <w:rFonts w:asciiTheme="minorHAnsi" w:hAnsiTheme="minorHAnsi" w:cstheme="minorHAnsi"/>
          <w:sz w:val="22"/>
          <w:szCs w:val="22"/>
        </w:rPr>
        <w:t xml:space="preserve">Over half of respondents (52%) experienced no problems </w:t>
      </w:r>
      <w:r w:rsidR="005F5778">
        <w:rPr>
          <w:rFonts w:asciiTheme="minorHAnsi" w:hAnsiTheme="minorHAnsi" w:cstheme="minorHAnsi"/>
          <w:sz w:val="22"/>
          <w:szCs w:val="22"/>
        </w:rPr>
        <w:t>fo</w:t>
      </w:r>
      <w:r w:rsidR="00975174">
        <w:rPr>
          <w:rFonts w:asciiTheme="minorHAnsi" w:hAnsiTheme="minorHAnsi" w:cstheme="minorHAnsi"/>
          <w:sz w:val="22"/>
          <w:szCs w:val="22"/>
        </w:rPr>
        <w:t>r any of</w:t>
      </w:r>
      <w:r w:rsidR="00B56360">
        <w:rPr>
          <w:rFonts w:asciiTheme="minorHAnsi" w:hAnsiTheme="minorHAnsi" w:cstheme="minorHAnsi"/>
          <w:sz w:val="22"/>
          <w:szCs w:val="22"/>
        </w:rPr>
        <w:t xml:space="preserve"> the elements within</w:t>
      </w:r>
      <w:r w:rsidR="005F5778">
        <w:rPr>
          <w:rFonts w:asciiTheme="minorHAnsi" w:hAnsiTheme="minorHAnsi" w:cstheme="minorHAnsi"/>
          <w:sz w:val="22"/>
          <w:szCs w:val="22"/>
        </w:rPr>
        <w:t xml:space="preserve"> EQ-5D, while one-fifth (</w:t>
      </w:r>
      <w:r w:rsidR="00B56360">
        <w:rPr>
          <w:rFonts w:asciiTheme="minorHAnsi" w:hAnsiTheme="minorHAnsi" w:cstheme="minorHAnsi"/>
          <w:sz w:val="22"/>
          <w:szCs w:val="22"/>
        </w:rPr>
        <w:t>19%) experienced problems with</w:t>
      </w:r>
      <w:r w:rsidR="005F5778">
        <w:rPr>
          <w:rFonts w:asciiTheme="minorHAnsi" w:hAnsiTheme="minorHAnsi" w:cstheme="minorHAnsi"/>
          <w:sz w:val="22"/>
          <w:szCs w:val="22"/>
        </w:rPr>
        <w:t xml:space="preserve"> one of the elements an</w:t>
      </w:r>
      <w:r w:rsidR="00B56360">
        <w:rPr>
          <w:rFonts w:asciiTheme="minorHAnsi" w:hAnsiTheme="minorHAnsi" w:cstheme="minorHAnsi"/>
          <w:sz w:val="22"/>
          <w:szCs w:val="22"/>
        </w:rPr>
        <w:t>d 5% experienced problems with</w:t>
      </w:r>
      <w:r w:rsidR="005F5778">
        <w:rPr>
          <w:rFonts w:asciiTheme="minorHAnsi" w:hAnsiTheme="minorHAnsi" w:cstheme="minorHAnsi"/>
          <w:sz w:val="22"/>
          <w:szCs w:val="22"/>
        </w:rPr>
        <w:t xml:space="preserve"> all five elements of the EQ-5D.</w:t>
      </w:r>
    </w:p>
    <w:p w:rsidR="005F5778" w:rsidRPr="005F5778" w:rsidRDefault="005F5778" w:rsidP="009236B4">
      <w:pPr>
        <w:tabs>
          <w:tab w:val="left" w:pos="-180"/>
        </w:tabs>
        <w:suppressAutoHyphens/>
        <w:spacing w:after="60"/>
        <w:rPr>
          <w:rFonts w:asciiTheme="minorHAnsi" w:hAnsiTheme="minorHAnsi" w:cstheme="minorHAnsi"/>
          <w:sz w:val="22"/>
          <w:szCs w:val="22"/>
        </w:rPr>
      </w:pPr>
      <w:r w:rsidRPr="005F5778">
        <w:rPr>
          <w:rFonts w:asciiTheme="minorHAnsi" w:hAnsiTheme="minorHAnsi" w:cstheme="minorHAnsi"/>
          <w:noProof/>
          <w:sz w:val="22"/>
          <w:szCs w:val="22"/>
          <w:lang w:val="en-IE" w:eastAsia="en-IE"/>
        </w:rPr>
        <w:drawing>
          <wp:inline distT="0" distB="0" distL="0" distR="0">
            <wp:extent cx="4324350" cy="2160000"/>
            <wp:effectExtent l="19050" t="0" r="0" b="0"/>
            <wp:docPr id="7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01420" w:rsidRPr="00F01420" w:rsidRDefault="00F01420" w:rsidP="00F01420">
      <w:pPr>
        <w:tabs>
          <w:tab w:val="left" w:pos="-180"/>
        </w:tabs>
        <w:suppressAutoHyphens/>
        <w:spacing w:before="120" w:after="60"/>
        <w:rPr>
          <w:rFonts w:asciiTheme="minorHAnsi" w:hAnsiTheme="minorHAnsi" w:cstheme="minorHAnsi"/>
          <w:b/>
          <w:color w:val="009999"/>
          <w:sz w:val="22"/>
          <w:szCs w:val="22"/>
        </w:rPr>
      </w:pPr>
      <w:bookmarkStart w:id="20" w:name="_Ref381945791"/>
      <w:r w:rsidRPr="00F01420">
        <w:rPr>
          <w:rFonts w:asciiTheme="minorHAnsi" w:hAnsiTheme="minorHAnsi" w:cstheme="minorHAnsi"/>
          <w:b/>
          <w:color w:val="009999"/>
          <w:sz w:val="22"/>
          <w:szCs w:val="22"/>
        </w:rPr>
        <w:t>Influence on Own Health</w:t>
      </w:r>
    </w:p>
    <w:p w:rsidR="00F01420" w:rsidRDefault="00F01420" w:rsidP="00F01420">
      <w:pPr>
        <w:tabs>
          <w:tab w:val="left" w:pos="-180"/>
        </w:tabs>
        <w:suppressAutoHyphens/>
        <w:spacing w:after="120" w:line="288" w:lineRule="auto"/>
        <w:rPr>
          <w:rFonts w:asciiTheme="minorHAnsi" w:hAnsiTheme="minorHAnsi" w:cstheme="minorHAnsi"/>
          <w:sz w:val="22"/>
          <w:szCs w:val="22"/>
        </w:rPr>
      </w:pPr>
      <w:r w:rsidRPr="00017260">
        <w:rPr>
          <w:rFonts w:asciiTheme="minorHAnsi" w:hAnsiTheme="minorHAnsi" w:cstheme="minorHAnsi"/>
          <w:sz w:val="22"/>
          <w:szCs w:val="22"/>
        </w:rPr>
        <w:t>Over half of respondents believed that they had a great deal of influence on their own health (55%), while 10% said they had little or no influence.</w:t>
      </w:r>
      <w:r>
        <w:rPr>
          <w:rFonts w:asciiTheme="minorHAnsi" w:hAnsiTheme="minorHAnsi" w:cstheme="minorHAnsi"/>
          <w:sz w:val="22"/>
          <w:szCs w:val="22"/>
        </w:rPr>
        <w:t xml:space="preserve">  The proportion believing they had a great deal of influence was broadly similar </w:t>
      </w:r>
      <w:r>
        <w:rPr>
          <w:rFonts w:asciiTheme="minorHAnsi" w:hAnsiTheme="minorHAnsi" w:cstheme="minorHAnsi"/>
          <w:sz w:val="22"/>
          <w:szCs w:val="22"/>
        </w:rPr>
        <w:lastRenderedPageBreak/>
        <w:t xml:space="preserve">for males and females but generally decreased with age (62% of those aged 25-34 compared with 38% of those aged 75 and over).  </w:t>
      </w:r>
    </w:p>
    <w:p w:rsidR="00F01420" w:rsidRPr="005B70A9" w:rsidRDefault="00F01420" w:rsidP="00F01420">
      <w:pPr>
        <w:tabs>
          <w:tab w:val="center" w:pos="4075"/>
        </w:tabs>
        <w:autoSpaceDE w:val="0"/>
        <w:autoSpaceDN w:val="0"/>
        <w:adjustRightInd w:val="0"/>
        <w:rPr>
          <w:rFonts w:asciiTheme="minorHAnsi" w:hAnsiTheme="minorHAnsi" w:cstheme="minorHAnsi"/>
          <w:b/>
        </w:rPr>
      </w:pPr>
      <w:r w:rsidRPr="005B70A9">
        <w:rPr>
          <w:rFonts w:asciiTheme="minorHAnsi" w:hAnsiTheme="minorHAnsi" w:cstheme="minorHAnsi"/>
          <w:b/>
        </w:rPr>
        <w:t>Those who Thought They had a Great Deal of Influence on Own Health by Age</w:t>
      </w:r>
    </w:p>
    <w:p w:rsidR="00F01420" w:rsidRDefault="00F01420" w:rsidP="00F01420">
      <w:pPr>
        <w:tabs>
          <w:tab w:val="left" w:pos="-180"/>
        </w:tabs>
        <w:suppressAutoHyphens/>
        <w:spacing w:after="120"/>
        <w:rPr>
          <w:rFonts w:asciiTheme="minorHAnsi" w:hAnsiTheme="minorHAnsi" w:cstheme="minorHAnsi"/>
          <w:b/>
          <w:color w:val="4F81BD" w:themeColor="accent1"/>
          <w:sz w:val="24"/>
          <w:szCs w:val="24"/>
        </w:rPr>
      </w:pPr>
      <w:r w:rsidRPr="005B70A9">
        <w:rPr>
          <w:rFonts w:asciiTheme="minorHAnsi" w:hAnsiTheme="minorHAnsi" w:cstheme="minorHAnsi"/>
          <w:b/>
          <w:noProof/>
          <w:color w:val="4F81BD" w:themeColor="accent1"/>
          <w:sz w:val="24"/>
          <w:szCs w:val="24"/>
          <w:lang w:val="en-IE" w:eastAsia="en-IE"/>
        </w:rPr>
        <w:drawing>
          <wp:inline distT="0" distB="0" distL="0" distR="0">
            <wp:extent cx="4324350" cy="1980000"/>
            <wp:effectExtent l="0" t="0" r="0" b="0"/>
            <wp:docPr id="6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F5F56" w:rsidRPr="00F444C3" w:rsidRDefault="00DF5F56" w:rsidP="00F444C3">
      <w:pPr>
        <w:tabs>
          <w:tab w:val="left" w:pos="-180"/>
        </w:tabs>
        <w:suppressAutoHyphens/>
        <w:spacing w:before="120" w:after="60"/>
        <w:rPr>
          <w:rFonts w:asciiTheme="minorHAnsi" w:hAnsiTheme="minorHAnsi" w:cstheme="minorHAnsi"/>
          <w:b/>
          <w:color w:val="009999"/>
          <w:sz w:val="22"/>
          <w:szCs w:val="22"/>
        </w:rPr>
      </w:pPr>
      <w:bookmarkStart w:id="21" w:name="_Ref381945871"/>
      <w:bookmarkStart w:id="22" w:name="_Ref381945797"/>
      <w:bookmarkEnd w:id="20"/>
      <w:r w:rsidRPr="00F444C3">
        <w:rPr>
          <w:rFonts w:asciiTheme="minorHAnsi" w:hAnsiTheme="minorHAnsi" w:cstheme="minorHAnsi"/>
          <w:b/>
          <w:color w:val="009999"/>
          <w:sz w:val="22"/>
          <w:szCs w:val="22"/>
        </w:rPr>
        <w:t>Health Rating</w:t>
      </w:r>
    </w:p>
    <w:p w:rsidR="00DF5F56" w:rsidRDefault="00DF5F56" w:rsidP="00F444C3">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Respondents were asked to rate their health today (with 100 being the best possible score).  Two-thirds rated their health today with a score of 71 or more (64%).  As might be expected, those who said their health in general was good or very good tended to rate their health today more highly.</w:t>
      </w:r>
    </w:p>
    <w:p w:rsidR="00DF5F56" w:rsidRDefault="00DF5F56" w:rsidP="00DF5F56">
      <w:pPr>
        <w:tabs>
          <w:tab w:val="left" w:pos="-180"/>
        </w:tabs>
        <w:suppressAutoHyphens/>
        <w:rPr>
          <w:rFonts w:asciiTheme="minorHAnsi" w:hAnsiTheme="minorHAnsi" w:cstheme="minorHAnsi"/>
          <w:b/>
          <w:color w:val="4F81BD" w:themeColor="accent1"/>
          <w:sz w:val="24"/>
          <w:szCs w:val="24"/>
        </w:rPr>
      </w:pPr>
      <w:r w:rsidRPr="0048096C">
        <w:rPr>
          <w:rFonts w:asciiTheme="minorHAnsi" w:hAnsiTheme="minorHAnsi" w:cstheme="minorHAnsi"/>
          <w:b/>
          <w:noProof/>
          <w:color w:val="4F81BD" w:themeColor="accent1"/>
          <w:sz w:val="24"/>
          <w:szCs w:val="24"/>
          <w:lang w:val="en-IE" w:eastAsia="en-IE"/>
        </w:rPr>
        <w:drawing>
          <wp:inline distT="0" distB="0" distL="0" distR="0">
            <wp:extent cx="4324350" cy="2592000"/>
            <wp:effectExtent l="19050" t="0" r="0" b="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D1EB6">
        <w:rPr>
          <w:rFonts w:asciiTheme="minorHAnsi" w:hAnsiTheme="minorHAnsi" w:cstheme="minorHAnsi"/>
          <w:b/>
          <w:color w:val="4F81BD" w:themeColor="accent1"/>
          <w:sz w:val="22"/>
          <w:szCs w:val="22"/>
        </w:rPr>
        <w:t xml:space="preserve"> </w:t>
      </w:r>
    </w:p>
    <w:p w:rsidR="00F01420" w:rsidRDefault="00F01420" w:rsidP="00F01420">
      <w:pPr>
        <w:pStyle w:val="Heading2"/>
        <w:spacing w:before="0" w:after="60"/>
        <w:rPr>
          <w:rFonts w:asciiTheme="minorHAnsi" w:hAnsiTheme="minorHAnsi" w:cstheme="minorHAnsi"/>
          <w:sz w:val="24"/>
          <w:szCs w:val="24"/>
        </w:rPr>
        <w:sectPr w:rsidR="00F01420" w:rsidSect="007033B0">
          <w:pgSz w:w="16838" w:h="11906" w:orient="landscape"/>
          <w:pgMar w:top="737" w:right="1247" w:bottom="737" w:left="1247" w:header="454" w:footer="567" w:gutter="0"/>
          <w:cols w:num="2" w:space="454"/>
          <w:docGrid w:linePitch="360"/>
        </w:sectPr>
      </w:pPr>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F01420" w:rsidTr="00486F4E">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CC99FF"/>
            </w:tcBorders>
            <w:shd w:val="clear" w:color="auto" w:fill="6600CC"/>
            <w:textDirection w:val="btLr"/>
          </w:tcPr>
          <w:p w:rsidR="00F01420" w:rsidRPr="00486F4E" w:rsidRDefault="00486F4E" w:rsidP="00406DE6">
            <w:pPr>
              <w:pStyle w:val="Heading2"/>
              <w:spacing w:before="0" w:after="60"/>
              <w:ind w:left="113" w:right="113"/>
              <w:jc w:val="center"/>
              <w:outlineLvl w:val="1"/>
              <w:rPr>
                <w:rFonts w:ascii="Calibri" w:hAnsi="Calibri" w:cs="Calibri"/>
                <w:i/>
                <w:color w:val="CC99FF"/>
                <w:sz w:val="72"/>
                <w:szCs w:val="72"/>
              </w:rPr>
            </w:pPr>
            <w:bookmarkStart w:id="23" w:name="_Ref382555527"/>
            <w:r w:rsidRPr="00486F4E">
              <w:rPr>
                <w:rFonts w:ascii="Calibri" w:hAnsi="Calibri" w:cs="Calibri"/>
                <w:i/>
                <w:color w:val="CC99FF"/>
                <w:sz w:val="72"/>
                <w:szCs w:val="72"/>
              </w:rPr>
              <w:lastRenderedPageBreak/>
              <w:t>Hospital Visit</w:t>
            </w:r>
            <w:r w:rsidR="00F01420" w:rsidRPr="00486F4E">
              <w:rPr>
                <w:rFonts w:ascii="Calibri" w:hAnsi="Calibri" w:cs="Calibri"/>
                <w:i/>
                <w:color w:val="CC99FF"/>
                <w:sz w:val="72"/>
                <w:szCs w:val="72"/>
              </w:rPr>
              <w:t>s</w:t>
            </w:r>
            <w:bookmarkEnd w:id="23"/>
          </w:p>
        </w:tc>
        <w:tc>
          <w:tcPr>
            <w:tcW w:w="5977" w:type="dxa"/>
            <w:tcBorders>
              <w:top w:val="nil"/>
              <w:left w:val="thinThickSmallGap" w:sz="24" w:space="0" w:color="CC99FF"/>
              <w:bottom w:val="nil"/>
              <w:right w:val="nil"/>
            </w:tcBorders>
            <w:shd w:val="clear" w:color="auto" w:fill="6600CC"/>
            <w:vAlign w:val="center"/>
          </w:tcPr>
          <w:p w:rsidR="00F01420" w:rsidRPr="00DC2342" w:rsidRDefault="00F01420" w:rsidP="00406DE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F01420" w:rsidTr="00486F4E">
        <w:trPr>
          <w:cantSplit/>
          <w:trHeight w:val="1928"/>
        </w:trPr>
        <w:tc>
          <w:tcPr>
            <w:tcW w:w="1184" w:type="dxa"/>
            <w:vMerge/>
            <w:tcBorders>
              <w:left w:val="single" w:sz="4" w:space="0" w:color="95B3D7" w:themeColor="accent1" w:themeTint="99"/>
              <w:right w:val="thinThickSmallGap" w:sz="24" w:space="0" w:color="CC99FF"/>
            </w:tcBorders>
            <w:shd w:val="clear" w:color="auto" w:fill="6600CC"/>
          </w:tcPr>
          <w:p w:rsidR="00F01420" w:rsidRPr="006F13A2" w:rsidRDefault="00F01420"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99FF"/>
              <w:bottom w:val="nil"/>
              <w:right w:val="nil"/>
            </w:tcBorders>
            <w:shd w:val="clear" w:color="auto" w:fill="6600CC"/>
            <w:vAlign w:val="center"/>
          </w:tcPr>
          <w:p w:rsidR="00F01420" w:rsidRPr="00DC2342" w:rsidRDefault="00F01420" w:rsidP="00486F4E">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486F4E">
              <w:rPr>
                <w:rFonts w:asciiTheme="minorHAnsi" w:hAnsiTheme="minorHAnsi" w:cstheme="minorHAnsi"/>
                <w:i/>
                <w:color w:val="FFFFFF" w:themeColor="background1"/>
                <w:sz w:val="28"/>
                <w:szCs w:val="28"/>
              </w:rPr>
              <w:t>Inpatients</w:t>
            </w:r>
          </w:p>
        </w:tc>
      </w:tr>
      <w:tr w:rsidR="00F01420" w:rsidTr="00486F4E">
        <w:trPr>
          <w:cantSplit/>
          <w:trHeight w:val="1928"/>
        </w:trPr>
        <w:tc>
          <w:tcPr>
            <w:tcW w:w="1184" w:type="dxa"/>
            <w:vMerge/>
            <w:tcBorders>
              <w:left w:val="single" w:sz="4" w:space="0" w:color="95B3D7" w:themeColor="accent1" w:themeTint="99"/>
              <w:right w:val="thinThickSmallGap" w:sz="24" w:space="0" w:color="CC99FF"/>
            </w:tcBorders>
            <w:shd w:val="clear" w:color="auto" w:fill="6600CC"/>
          </w:tcPr>
          <w:p w:rsidR="00F01420" w:rsidRPr="006F13A2" w:rsidRDefault="00F01420"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99FF"/>
              <w:bottom w:val="nil"/>
              <w:right w:val="nil"/>
            </w:tcBorders>
            <w:shd w:val="clear" w:color="auto" w:fill="6600CC"/>
            <w:vAlign w:val="center"/>
          </w:tcPr>
          <w:p w:rsidR="00F01420" w:rsidRPr="00DC2342" w:rsidRDefault="00F01420" w:rsidP="00486F4E">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486F4E">
              <w:rPr>
                <w:rFonts w:asciiTheme="minorHAnsi" w:hAnsiTheme="minorHAnsi" w:cstheme="minorHAnsi"/>
                <w:i/>
                <w:color w:val="FFFFFF" w:themeColor="background1"/>
                <w:sz w:val="28"/>
                <w:szCs w:val="28"/>
              </w:rPr>
              <w:t>Outpatients</w:t>
            </w:r>
          </w:p>
        </w:tc>
      </w:tr>
      <w:tr w:rsidR="00F01420" w:rsidTr="00486F4E">
        <w:trPr>
          <w:cantSplit/>
          <w:trHeight w:val="1928"/>
        </w:trPr>
        <w:tc>
          <w:tcPr>
            <w:tcW w:w="1184" w:type="dxa"/>
            <w:vMerge/>
            <w:tcBorders>
              <w:left w:val="single" w:sz="4" w:space="0" w:color="95B3D7" w:themeColor="accent1" w:themeTint="99"/>
              <w:right w:val="thinThickSmallGap" w:sz="24" w:space="0" w:color="CC99FF"/>
            </w:tcBorders>
            <w:shd w:val="clear" w:color="auto" w:fill="6600CC"/>
          </w:tcPr>
          <w:p w:rsidR="00F01420" w:rsidRPr="006F13A2" w:rsidRDefault="00F01420"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99FF"/>
              <w:bottom w:val="nil"/>
              <w:right w:val="nil"/>
            </w:tcBorders>
            <w:shd w:val="clear" w:color="auto" w:fill="6600CC"/>
            <w:vAlign w:val="center"/>
          </w:tcPr>
          <w:p w:rsidR="00F01420" w:rsidRPr="00DC2342" w:rsidRDefault="00F01420" w:rsidP="00486F4E">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486F4E">
              <w:rPr>
                <w:rFonts w:asciiTheme="minorHAnsi" w:hAnsiTheme="minorHAnsi" w:cstheme="minorHAnsi"/>
                <w:i/>
                <w:color w:val="FFFFFF" w:themeColor="background1"/>
                <w:sz w:val="28"/>
                <w:szCs w:val="28"/>
              </w:rPr>
              <w:t>Accident &amp; Emergency</w:t>
            </w:r>
          </w:p>
        </w:tc>
      </w:tr>
      <w:tr w:rsidR="00F01420" w:rsidTr="00486F4E">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CC99FF"/>
            </w:tcBorders>
            <w:shd w:val="clear" w:color="auto" w:fill="6600CC"/>
          </w:tcPr>
          <w:p w:rsidR="00F01420" w:rsidRPr="006F13A2" w:rsidRDefault="00F01420"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99FF"/>
              <w:bottom w:val="nil"/>
              <w:right w:val="nil"/>
            </w:tcBorders>
            <w:shd w:val="clear" w:color="auto" w:fill="6600CC"/>
            <w:vAlign w:val="center"/>
          </w:tcPr>
          <w:p w:rsidR="00F01420" w:rsidRPr="00DC2342" w:rsidRDefault="00F01420" w:rsidP="00406DE6">
            <w:pPr>
              <w:pStyle w:val="Heading2"/>
              <w:spacing w:before="0" w:after="60"/>
              <w:outlineLvl w:val="1"/>
              <w:rPr>
                <w:rFonts w:asciiTheme="minorHAnsi" w:hAnsiTheme="minorHAnsi" w:cstheme="minorHAnsi"/>
                <w:i/>
                <w:color w:val="FFFFFF" w:themeColor="background1"/>
                <w:sz w:val="28"/>
                <w:szCs w:val="28"/>
              </w:rPr>
            </w:pPr>
          </w:p>
        </w:tc>
      </w:tr>
    </w:tbl>
    <w:p w:rsidR="00F01420" w:rsidRDefault="00F01420" w:rsidP="00F01420">
      <w:pPr>
        <w:rPr>
          <w:rFonts w:asciiTheme="minorHAnsi" w:hAnsiTheme="minorHAnsi" w:cstheme="minorHAnsi"/>
          <w:sz w:val="22"/>
          <w:szCs w:val="22"/>
        </w:rPr>
      </w:pPr>
    </w:p>
    <w:p w:rsidR="00436329" w:rsidRPr="00B55745" w:rsidRDefault="00436329" w:rsidP="00F01420">
      <w:pPr>
        <w:rPr>
          <w:rFonts w:asciiTheme="minorHAnsi" w:hAnsiTheme="minorHAnsi" w:cstheme="minorHAnsi"/>
          <w:sz w:val="22"/>
          <w:szCs w:val="22"/>
        </w:rPr>
      </w:pPr>
    </w:p>
    <w:p w:rsidR="00F01420" w:rsidRPr="003A7E92" w:rsidRDefault="00F01420" w:rsidP="003A7E92">
      <w:pPr>
        <w:jc w:val="left"/>
        <w:rPr>
          <w:rFonts w:asciiTheme="minorHAnsi" w:hAnsiTheme="minorHAnsi" w:cstheme="minorHAnsi"/>
          <w:i/>
          <w:sz w:val="22"/>
          <w:szCs w:val="22"/>
        </w:rPr>
      </w:pPr>
    </w:p>
    <w:tbl>
      <w:tblPr>
        <w:tblStyle w:val="TableGrid"/>
        <w:tblW w:w="0" w:type="auto"/>
        <w:tblLook w:val="04A0" w:firstRow="1" w:lastRow="0" w:firstColumn="1" w:lastColumn="0" w:noHBand="0" w:noVBand="1"/>
      </w:tblPr>
      <w:tblGrid>
        <w:gridCol w:w="1432"/>
        <w:gridCol w:w="1432"/>
        <w:gridCol w:w="1432"/>
        <w:gridCol w:w="1432"/>
        <w:gridCol w:w="1433"/>
      </w:tblGrid>
      <w:tr w:rsidR="00F01420" w:rsidRPr="003A7E92" w:rsidTr="00486F4E">
        <w:trPr>
          <w:trHeight w:val="1361"/>
        </w:trPr>
        <w:tc>
          <w:tcPr>
            <w:tcW w:w="2864" w:type="dxa"/>
            <w:gridSpan w:val="2"/>
            <w:tcBorders>
              <w:top w:val="nil"/>
              <w:left w:val="nil"/>
              <w:bottom w:val="nil"/>
              <w:right w:val="nil"/>
            </w:tcBorders>
            <w:shd w:val="clear" w:color="auto" w:fill="9900FF"/>
            <w:vAlign w:val="center"/>
          </w:tcPr>
          <w:p w:rsidR="00F01420" w:rsidRPr="00030566" w:rsidRDefault="00030566" w:rsidP="00030566">
            <w:pPr>
              <w:jc w:val="left"/>
              <w:rPr>
                <w:rFonts w:asciiTheme="minorHAnsi" w:hAnsiTheme="minorHAnsi" w:cstheme="minorHAnsi"/>
                <w:b/>
                <w:i/>
                <w:color w:val="FFFFFF" w:themeColor="background1"/>
                <w:sz w:val="22"/>
                <w:szCs w:val="22"/>
              </w:rPr>
            </w:pPr>
            <w:r w:rsidRPr="00030566">
              <w:rPr>
                <w:rFonts w:ascii="Calibri" w:hAnsi="Calibri" w:cs="Calibri"/>
                <w:b/>
                <w:i/>
                <w:color w:val="FFFFFF" w:themeColor="background1"/>
                <w:sz w:val="22"/>
                <w:szCs w:val="22"/>
              </w:rPr>
              <w:t>52% of inpatient admissions were planned, while 37% were emergency admissions  through A&amp;E</w:t>
            </w:r>
            <w:r w:rsidRPr="00030566">
              <w:rPr>
                <w:rFonts w:asciiTheme="minorHAnsi" w:hAnsiTheme="minorHAnsi" w:cstheme="minorHAnsi"/>
                <w:i/>
                <w:color w:val="FFFFFF" w:themeColor="background1"/>
                <w:sz w:val="22"/>
                <w:szCs w:val="22"/>
              </w:rPr>
              <w:t xml:space="preserve"> </w:t>
            </w: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2865" w:type="dxa"/>
            <w:gridSpan w:val="2"/>
            <w:vMerge w:val="restart"/>
            <w:tcBorders>
              <w:top w:val="nil"/>
              <w:left w:val="nil"/>
              <w:bottom w:val="nil"/>
              <w:right w:val="nil"/>
            </w:tcBorders>
            <w:shd w:val="clear" w:color="auto" w:fill="6600CC"/>
            <w:vAlign w:val="center"/>
          </w:tcPr>
          <w:p w:rsidR="00F01420" w:rsidRPr="003A7E92" w:rsidRDefault="00B9001C" w:rsidP="003A7E92">
            <w:pPr>
              <w:jc w:val="left"/>
              <w:rPr>
                <w:rFonts w:asciiTheme="minorHAnsi" w:hAnsiTheme="minorHAnsi" w:cstheme="minorHAnsi"/>
                <w:b/>
                <w:i/>
                <w:color w:val="FFFFFF" w:themeColor="background1"/>
                <w:sz w:val="26"/>
                <w:szCs w:val="26"/>
              </w:rPr>
            </w:pPr>
            <w:r w:rsidRPr="003A7E92">
              <w:rPr>
                <w:rFonts w:ascii="Calibri" w:hAnsi="Calibri" w:cs="Calibri"/>
                <w:i/>
                <w:sz w:val="26"/>
                <w:szCs w:val="26"/>
              </w:rPr>
              <w:t xml:space="preserve">35% of respondents attended outpatients , while 18% attended A&amp;E and 14% had been admitted as an inpatient in the last 12 months </w:t>
            </w:r>
          </w:p>
        </w:tc>
      </w:tr>
      <w:tr w:rsidR="00F01420" w:rsidRPr="003A7E92" w:rsidTr="00486F4E">
        <w:trPr>
          <w:trHeight w:val="1020"/>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2865" w:type="dxa"/>
            <w:gridSpan w:val="2"/>
            <w:vMerge/>
            <w:tcBorders>
              <w:top w:val="nil"/>
              <w:left w:val="nil"/>
              <w:bottom w:val="nil"/>
              <w:right w:val="nil"/>
            </w:tcBorders>
            <w:shd w:val="clear" w:color="auto" w:fill="6600CC"/>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06DE6">
        <w:trPr>
          <w:trHeight w:val="340"/>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86F4E">
        <w:trPr>
          <w:trHeight w:val="1587"/>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9966FF"/>
            <w:vAlign w:val="center"/>
          </w:tcPr>
          <w:p w:rsidR="00F01420" w:rsidRPr="003A7E92" w:rsidRDefault="00B9001C" w:rsidP="003A7E92">
            <w:pPr>
              <w:jc w:val="left"/>
              <w:rPr>
                <w:rFonts w:asciiTheme="minorHAnsi" w:hAnsiTheme="minorHAnsi" w:cstheme="minorHAnsi"/>
                <w:b/>
                <w:i/>
                <w:color w:val="FFFFFF" w:themeColor="background1"/>
                <w:sz w:val="26"/>
                <w:szCs w:val="26"/>
              </w:rPr>
            </w:pPr>
            <w:r w:rsidRPr="003A7E92">
              <w:rPr>
                <w:rFonts w:ascii="Calibri" w:hAnsi="Calibri" w:cs="Calibri"/>
                <w:b/>
                <w:i/>
                <w:color w:val="FFFFFF" w:themeColor="background1"/>
                <w:sz w:val="26"/>
                <w:szCs w:val="26"/>
              </w:rPr>
              <w:t>88% of inpatients</w:t>
            </w:r>
            <w:r w:rsidR="003A7E92" w:rsidRPr="003A7E92">
              <w:rPr>
                <w:rFonts w:ascii="Calibri" w:hAnsi="Calibri" w:cs="Calibri"/>
                <w:b/>
                <w:i/>
                <w:color w:val="FFFFFF" w:themeColor="background1"/>
                <w:sz w:val="26"/>
                <w:szCs w:val="26"/>
              </w:rPr>
              <w:t>,</w:t>
            </w:r>
            <w:r w:rsidRPr="003A7E92">
              <w:rPr>
                <w:rFonts w:asciiTheme="minorHAnsi" w:hAnsiTheme="minorHAnsi" w:cstheme="minorHAnsi"/>
                <w:b/>
                <w:i/>
                <w:color w:val="FFFFFF" w:themeColor="background1"/>
                <w:sz w:val="26"/>
                <w:szCs w:val="26"/>
              </w:rPr>
              <w:t xml:space="preserve"> 87% of outpatients</w:t>
            </w:r>
            <w:r w:rsidR="003A7E92" w:rsidRPr="003A7E92">
              <w:rPr>
                <w:rFonts w:asciiTheme="minorHAnsi" w:hAnsiTheme="minorHAnsi" w:cstheme="minorHAnsi"/>
                <w:b/>
                <w:i/>
                <w:color w:val="FFFFFF" w:themeColor="background1"/>
                <w:sz w:val="26"/>
                <w:szCs w:val="26"/>
              </w:rPr>
              <w:t xml:space="preserve"> and 84% of those who attended</w:t>
            </w:r>
            <w:r w:rsidRPr="003A7E92">
              <w:rPr>
                <w:rFonts w:ascii="Calibri" w:hAnsi="Calibri" w:cs="Calibri"/>
                <w:b/>
                <w:i/>
                <w:color w:val="FFFFFF" w:themeColor="background1"/>
                <w:sz w:val="26"/>
                <w:szCs w:val="26"/>
              </w:rPr>
              <w:t xml:space="preserve"> </w:t>
            </w:r>
            <w:r w:rsidR="003A7E92" w:rsidRPr="003A7E92">
              <w:rPr>
                <w:rFonts w:asciiTheme="minorHAnsi" w:hAnsiTheme="minorHAnsi" w:cstheme="minorHAnsi"/>
                <w:b/>
                <w:i/>
                <w:color w:val="FFFFFF" w:themeColor="background1"/>
                <w:sz w:val="26"/>
                <w:szCs w:val="26"/>
              </w:rPr>
              <w:t xml:space="preserve">A&amp;E </w:t>
            </w:r>
            <w:r w:rsidRPr="00030566">
              <w:rPr>
                <w:rFonts w:ascii="Calibri" w:hAnsi="Calibri" w:cs="Calibri"/>
                <w:b/>
                <w:i/>
                <w:color w:val="FFFFFF" w:themeColor="background1"/>
                <w:sz w:val="28"/>
                <w:szCs w:val="28"/>
              </w:rPr>
              <w:t>rated their overall care as either</w:t>
            </w:r>
            <w:r w:rsidRPr="003A7E92">
              <w:rPr>
                <w:rFonts w:ascii="Calibri" w:hAnsi="Calibri" w:cs="Calibri"/>
                <w:b/>
                <w:i/>
                <w:color w:val="FFFFFF" w:themeColor="background1"/>
                <w:sz w:val="26"/>
                <w:szCs w:val="26"/>
              </w:rPr>
              <w:t xml:space="preserve"> </w:t>
            </w:r>
            <w:r w:rsidRPr="003A7E92">
              <w:rPr>
                <w:rFonts w:ascii="Calibri" w:hAnsi="Calibri" w:cs="Calibri"/>
                <w:b/>
                <w:i/>
                <w:color w:val="FFFFFF" w:themeColor="background1"/>
                <w:sz w:val="28"/>
                <w:szCs w:val="28"/>
              </w:rPr>
              <w:t>excellent or good</w:t>
            </w:r>
          </w:p>
        </w:tc>
        <w:tc>
          <w:tcPr>
            <w:tcW w:w="1433"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06DE6">
        <w:trPr>
          <w:trHeight w:val="510"/>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86F4E">
        <w:trPr>
          <w:trHeight w:val="1361"/>
        </w:trPr>
        <w:tc>
          <w:tcPr>
            <w:tcW w:w="2864" w:type="dxa"/>
            <w:gridSpan w:val="2"/>
            <w:vMerge w:val="restart"/>
            <w:tcBorders>
              <w:top w:val="nil"/>
              <w:left w:val="nil"/>
              <w:bottom w:val="nil"/>
              <w:right w:val="nil"/>
            </w:tcBorders>
            <w:shd w:val="clear" w:color="auto" w:fill="CCCCFF"/>
            <w:vAlign w:val="center"/>
          </w:tcPr>
          <w:p w:rsidR="00F01420" w:rsidRPr="003A7E92" w:rsidRDefault="00B9001C" w:rsidP="003A7E92">
            <w:pPr>
              <w:jc w:val="left"/>
              <w:rPr>
                <w:rFonts w:asciiTheme="minorHAnsi" w:hAnsiTheme="minorHAnsi" w:cstheme="minorHAnsi"/>
                <w:i/>
                <w:color w:val="4F009E"/>
                <w:sz w:val="28"/>
                <w:szCs w:val="28"/>
              </w:rPr>
            </w:pPr>
            <w:r w:rsidRPr="003A7E92">
              <w:rPr>
                <w:rFonts w:ascii="Calibri" w:hAnsi="Calibri" w:cs="Calibri"/>
                <w:i/>
                <w:color w:val="4F009E"/>
                <w:sz w:val="28"/>
                <w:szCs w:val="28"/>
              </w:rPr>
              <w:t>55% of respondents were seen as an outpatient within 6 weeks of being referred</w:t>
            </w: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4F009E"/>
            <w:vAlign w:val="center"/>
          </w:tcPr>
          <w:p w:rsidR="00F01420" w:rsidRPr="003A7E92" w:rsidRDefault="003A7E92" w:rsidP="003A7E92">
            <w:pPr>
              <w:jc w:val="left"/>
              <w:rPr>
                <w:rFonts w:asciiTheme="minorHAnsi" w:hAnsiTheme="minorHAnsi" w:cstheme="minorHAnsi"/>
                <w:b/>
                <w:i/>
                <w:color w:val="FFFFFF" w:themeColor="background1"/>
              </w:rPr>
            </w:pPr>
            <w:r w:rsidRPr="003A7E92">
              <w:rPr>
                <w:rFonts w:asciiTheme="minorHAnsi" w:hAnsiTheme="minorHAnsi" w:cstheme="minorHAnsi"/>
                <w:b/>
                <w:i/>
              </w:rPr>
              <w:t>48% of A&amp;E attendances were due to accidental injury</w:t>
            </w:r>
          </w:p>
        </w:tc>
        <w:tc>
          <w:tcPr>
            <w:tcW w:w="1433"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86F4E">
        <w:trPr>
          <w:trHeight w:val="567"/>
        </w:trPr>
        <w:tc>
          <w:tcPr>
            <w:tcW w:w="2864" w:type="dxa"/>
            <w:gridSpan w:val="2"/>
            <w:vMerge/>
            <w:tcBorders>
              <w:top w:val="nil"/>
              <w:left w:val="nil"/>
              <w:bottom w:val="nil"/>
              <w:right w:val="nil"/>
            </w:tcBorders>
            <w:shd w:val="clear" w:color="auto" w:fill="CCCCFF"/>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06DE6">
        <w:trPr>
          <w:trHeight w:val="283"/>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r>
      <w:tr w:rsidR="00F01420" w:rsidRPr="003A7E92" w:rsidTr="00486F4E">
        <w:trPr>
          <w:trHeight w:val="1701"/>
        </w:trPr>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01420" w:rsidRPr="003A7E92" w:rsidRDefault="00F01420" w:rsidP="003A7E92">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CC99FF"/>
            <w:vAlign w:val="center"/>
          </w:tcPr>
          <w:p w:rsidR="00F01420" w:rsidRPr="00030566" w:rsidRDefault="00030566" w:rsidP="003A7E92">
            <w:pPr>
              <w:jc w:val="left"/>
              <w:rPr>
                <w:rFonts w:asciiTheme="minorHAnsi" w:hAnsiTheme="minorHAnsi" w:cstheme="minorHAnsi"/>
                <w:b/>
                <w:i/>
                <w:color w:val="FFFFFF" w:themeColor="background1"/>
                <w:sz w:val="28"/>
                <w:szCs w:val="28"/>
              </w:rPr>
            </w:pPr>
            <w:r w:rsidRPr="00030566">
              <w:rPr>
                <w:rFonts w:asciiTheme="minorHAnsi" w:hAnsiTheme="minorHAnsi" w:cstheme="minorHAnsi"/>
                <w:b/>
                <w:i/>
                <w:color w:val="FFFFFF" w:themeColor="background1"/>
                <w:sz w:val="28"/>
                <w:szCs w:val="28"/>
              </w:rPr>
              <w:t>64% of A&amp;E visits lasted under four hours, while 9% of visits lasted eight hours or more</w:t>
            </w:r>
          </w:p>
        </w:tc>
      </w:tr>
    </w:tbl>
    <w:p w:rsidR="00F01420" w:rsidRDefault="00F01420" w:rsidP="00F01420">
      <w:pPr>
        <w:tabs>
          <w:tab w:val="left" w:pos="-180"/>
        </w:tabs>
        <w:suppressAutoHyphens/>
        <w:spacing w:before="240" w:after="120"/>
        <w:rPr>
          <w:rFonts w:asciiTheme="minorHAnsi" w:hAnsiTheme="minorHAnsi" w:cstheme="minorHAnsi"/>
          <w:b/>
          <w:color w:val="4F81BD" w:themeColor="accent1"/>
          <w:sz w:val="24"/>
          <w:szCs w:val="24"/>
        </w:rPr>
      </w:pPr>
    </w:p>
    <w:p w:rsidR="00F01420" w:rsidRDefault="00F01420" w:rsidP="00F01420">
      <w:pPr>
        <w:pStyle w:val="Heading2"/>
        <w:spacing w:before="0" w:after="60"/>
        <w:rPr>
          <w:rFonts w:asciiTheme="minorHAnsi" w:hAnsiTheme="minorHAnsi" w:cstheme="minorHAnsi"/>
          <w:sz w:val="24"/>
          <w:szCs w:val="24"/>
        </w:rPr>
        <w:sectPr w:rsidR="00F01420" w:rsidSect="007033B0">
          <w:pgSz w:w="16838" w:h="11906" w:orient="landscape"/>
          <w:pgMar w:top="737" w:right="1247" w:bottom="737" w:left="1247" w:header="454" w:footer="567" w:gutter="0"/>
          <w:cols w:num="2" w:space="454"/>
          <w:docGrid w:linePitch="360"/>
        </w:sectPr>
      </w:pPr>
    </w:p>
    <w:p w:rsidR="00F01420" w:rsidRPr="008A4176" w:rsidRDefault="00F01420" w:rsidP="008C1E95">
      <w:pPr>
        <w:pStyle w:val="Heading2"/>
        <w:spacing w:before="0" w:after="120"/>
        <w:rPr>
          <w:rFonts w:asciiTheme="minorHAnsi" w:hAnsiTheme="minorHAnsi" w:cstheme="minorHAnsi"/>
          <w:color w:val="6600CC"/>
          <w:sz w:val="24"/>
          <w:szCs w:val="24"/>
        </w:rPr>
      </w:pPr>
      <w:r w:rsidRPr="008A4176">
        <w:rPr>
          <w:rFonts w:asciiTheme="minorHAnsi" w:hAnsiTheme="minorHAnsi" w:cstheme="minorHAnsi"/>
          <w:color w:val="6600CC"/>
          <w:sz w:val="24"/>
          <w:szCs w:val="24"/>
        </w:rPr>
        <w:lastRenderedPageBreak/>
        <w:t>Hospital Visits</w:t>
      </w:r>
      <w:bookmarkEnd w:id="21"/>
    </w:p>
    <w:p w:rsidR="00F01420" w:rsidRDefault="00F01420" w:rsidP="00B149EB">
      <w:pPr>
        <w:spacing w:after="120" w:line="288" w:lineRule="auto"/>
        <w:rPr>
          <w:rFonts w:asciiTheme="minorHAnsi" w:hAnsiTheme="minorHAnsi" w:cstheme="minorHAnsi"/>
          <w:sz w:val="22"/>
          <w:szCs w:val="22"/>
        </w:rPr>
      </w:pPr>
      <w:r w:rsidRPr="009B1C0F">
        <w:rPr>
          <w:rFonts w:ascii="Calibri" w:hAnsi="Calibri" w:cs="Calibri"/>
          <w:sz w:val="22"/>
          <w:szCs w:val="22"/>
        </w:rPr>
        <w:t xml:space="preserve">DHSSPS is actively involved in reducing waiting lists both for hospital inpatients and outpatients.  </w:t>
      </w:r>
      <w:r>
        <w:rPr>
          <w:rFonts w:ascii="Calibri" w:hAnsi="Calibri" w:cs="Calibri"/>
          <w:sz w:val="22"/>
          <w:szCs w:val="22"/>
        </w:rPr>
        <w:t xml:space="preserve">In light of </w:t>
      </w:r>
      <w:r w:rsidRPr="009B1C0F">
        <w:rPr>
          <w:rFonts w:ascii="Calibri" w:hAnsi="Calibri" w:cs="Calibri"/>
          <w:sz w:val="22"/>
          <w:szCs w:val="22"/>
        </w:rPr>
        <w:t xml:space="preserve">this, </w:t>
      </w:r>
      <w:r>
        <w:rPr>
          <w:rFonts w:ascii="Calibri" w:hAnsi="Calibri" w:cs="Calibri"/>
          <w:sz w:val="22"/>
          <w:szCs w:val="22"/>
        </w:rPr>
        <w:t>t</w:t>
      </w:r>
      <w:r>
        <w:rPr>
          <w:rFonts w:asciiTheme="minorHAnsi" w:hAnsiTheme="minorHAnsi" w:cstheme="minorHAnsi"/>
          <w:sz w:val="22"/>
          <w:szCs w:val="22"/>
        </w:rPr>
        <w:t>he following section looks at hospital attendance and patient experience as either inpatients, outpatients or to the Accident and Emergency (A&amp;E) Department.</w:t>
      </w:r>
    </w:p>
    <w:p w:rsidR="00F01420" w:rsidRDefault="00F01420" w:rsidP="00B149EB">
      <w:pPr>
        <w:spacing w:after="120" w:line="288" w:lineRule="auto"/>
        <w:rPr>
          <w:rFonts w:ascii="Calibri" w:hAnsi="Calibri" w:cs="Calibri"/>
          <w:sz w:val="22"/>
          <w:szCs w:val="22"/>
        </w:rPr>
      </w:pPr>
      <w:r w:rsidRPr="00B149EB">
        <w:rPr>
          <w:rFonts w:ascii="Calibri" w:hAnsi="Calibri" w:cs="Calibri"/>
          <w:sz w:val="22"/>
          <w:szCs w:val="22"/>
        </w:rPr>
        <w:t>One-third of respondents attended outpatients (35%), while 18% attended A&amp;E and 14% had been admitted as an inpatient in the twelve months prior to being surveyed.   Just over half of respondents (53%) did not attend hospital at all.  The chart below shows a breakdown of hospital departments attended by respondents.</w:t>
      </w:r>
    </w:p>
    <w:p w:rsidR="008C1E95" w:rsidRPr="00B149EB" w:rsidRDefault="008C1E95" w:rsidP="008C1E95">
      <w:pPr>
        <w:spacing w:line="288" w:lineRule="auto"/>
        <w:rPr>
          <w:rFonts w:ascii="Calibri" w:hAnsi="Calibri" w:cs="Calibri"/>
          <w:sz w:val="22"/>
          <w:szCs w:val="22"/>
        </w:rPr>
      </w:pPr>
    </w:p>
    <w:p w:rsidR="00F01420" w:rsidRDefault="00F01420" w:rsidP="00F01420">
      <w:pPr>
        <w:tabs>
          <w:tab w:val="center" w:pos="4075"/>
        </w:tabs>
        <w:autoSpaceDE w:val="0"/>
        <w:autoSpaceDN w:val="0"/>
        <w:adjustRightInd w:val="0"/>
        <w:rPr>
          <w:rFonts w:asciiTheme="minorHAnsi" w:hAnsiTheme="minorHAnsi" w:cstheme="minorHAnsi"/>
          <w:sz w:val="22"/>
          <w:szCs w:val="22"/>
        </w:rPr>
      </w:pPr>
      <w:r w:rsidRPr="00961D3F">
        <w:rPr>
          <w:rFonts w:asciiTheme="minorHAnsi" w:hAnsiTheme="minorHAnsi" w:cstheme="minorHAnsi"/>
          <w:noProof/>
          <w:sz w:val="22"/>
          <w:szCs w:val="22"/>
          <w:lang w:val="en-IE" w:eastAsia="en-IE"/>
        </w:rPr>
        <w:drawing>
          <wp:inline distT="0" distB="0" distL="0" distR="0">
            <wp:extent cx="4324350" cy="2520000"/>
            <wp:effectExtent l="19050" t="0" r="0" b="0"/>
            <wp:docPr id="7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1E95" w:rsidRDefault="008C1E95" w:rsidP="008C1E95">
      <w:pPr>
        <w:tabs>
          <w:tab w:val="left" w:pos="-180"/>
        </w:tabs>
        <w:suppressAutoHyphens/>
        <w:spacing w:before="480" w:after="120"/>
        <w:rPr>
          <w:rFonts w:asciiTheme="minorHAnsi" w:hAnsiTheme="minorHAnsi" w:cstheme="minorHAnsi"/>
          <w:b/>
          <w:color w:val="6600CC"/>
          <w:sz w:val="24"/>
          <w:szCs w:val="24"/>
        </w:rPr>
      </w:pPr>
    </w:p>
    <w:p w:rsidR="008C1E95" w:rsidRDefault="008C1E95" w:rsidP="008C1E95">
      <w:pPr>
        <w:tabs>
          <w:tab w:val="left" w:pos="-180"/>
        </w:tabs>
        <w:suppressAutoHyphens/>
        <w:spacing w:before="480" w:after="120"/>
        <w:rPr>
          <w:rFonts w:asciiTheme="minorHAnsi" w:hAnsiTheme="minorHAnsi" w:cstheme="minorHAnsi"/>
          <w:b/>
          <w:color w:val="6600CC"/>
          <w:sz w:val="24"/>
          <w:szCs w:val="24"/>
        </w:rPr>
      </w:pPr>
    </w:p>
    <w:p w:rsidR="00F01420" w:rsidRPr="008A4176" w:rsidRDefault="00F01420" w:rsidP="008C1E95">
      <w:pPr>
        <w:tabs>
          <w:tab w:val="left" w:pos="-180"/>
        </w:tabs>
        <w:suppressAutoHyphens/>
        <w:spacing w:before="480" w:after="120"/>
        <w:rPr>
          <w:rFonts w:asciiTheme="minorHAnsi" w:hAnsiTheme="minorHAnsi" w:cstheme="minorHAnsi"/>
          <w:b/>
          <w:color w:val="6600CC"/>
          <w:sz w:val="24"/>
          <w:szCs w:val="24"/>
        </w:rPr>
      </w:pPr>
      <w:r w:rsidRPr="008A4176">
        <w:rPr>
          <w:rFonts w:asciiTheme="minorHAnsi" w:hAnsiTheme="minorHAnsi" w:cstheme="minorHAnsi"/>
          <w:b/>
          <w:color w:val="6600CC"/>
          <w:sz w:val="24"/>
          <w:szCs w:val="24"/>
        </w:rPr>
        <w:lastRenderedPageBreak/>
        <w:t>Inpatients</w:t>
      </w:r>
    </w:p>
    <w:p w:rsidR="00F01420" w:rsidRPr="008A4176" w:rsidRDefault="00F01420" w:rsidP="008C1E95">
      <w:pPr>
        <w:tabs>
          <w:tab w:val="left" w:pos="-180"/>
        </w:tabs>
        <w:suppressAutoHyphens/>
        <w:spacing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Inpatient Admissions</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Overall 14% of respondents had attended hospital over the last year as an inpatient (16% of females and 11% of males).</w:t>
      </w:r>
    </w:p>
    <w:p w:rsidR="00F01420" w:rsidRPr="00B149EB" w:rsidRDefault="00F01420" w:rsidP="008C1E95">
      <w:pPr>
        <w:spacing w:after="240" w:line="288" w:lineRule="auto"/>
        <w:rPr>
          <w:rFonts w:ascii="Calibri" w:hAnsi="Calibri" w:cs="Calibri"/>
          <w:sz w:val="22"/>
          <w:szCs w:val="22"/>
        </w:rPr>
      </w:pPr>
      <w:r w:rsidRPr="00B149EB">
        <w:rPr>
          <w:rFonts w:ascii="Calibri" w:hAnsi="Calibri" w:cs="Calibri"/>
          <w:sz w:val="22"/>
          <w:szCs w:val="22"/>
        </w:rPr>
        <w:t>Of those who attended hospital as an inpatient, just over half were planned admissions (52%), while over one-third were emergency admissions (37%) through the Accident and Emergency (A&amp;E) Department and a further tenth were emergency admissions not through A&amp;E.  Three-fifths of female admissions as inpatient</w:t>
      </w:r>
      <w:r w:rsidR="00937072">
        <w:rPr>
          <w:rFonts w:ascii="Calibri" w:hAnsi="Calibri" w:cs="Calibri"/>
          <w:sz w:val="22"/>
          <w:szCs w:val="22"/>
        </w:rPr>
        <w:t>s</w:t>
      </w:r>
      <w:r w:rsidRPr="00B149EB">
        <w:rPr>
          <w:rFonts w:ascii="Calibri" w:hAnsi="Calibri" w:cs="Calibri"/>
          <w:sz w:val="22"/>
          <w:szCs w:val="22"/>
        </w:rPr>
        <w:t xml:space="preserve"> were planned (57%), while half of male inpatient admissions were through A&amp;E (51%).</w:t>
      </w:r>
    </w:p>
    <w:p w:rsidR="00F01420" w:rsidRDefault="00F01420" w:rsidP="00F01420">
      <w:pPr>
        <w:tabs>
          <w:tab w:val="center" w:pos="4075"/>
        </w:tabs>
        <w:autoSpaceDE w:val="0"/>
        <w:autoSpaceDN w:val="0"/>
        <w:adjustRightInd w:val="0"/>
        <w:rPr>
          <w:rFonts w:asciiTheme="minorHAnsi" w:hAnsiTheme="minorHAnsi" w:cstheme="minorHAnsi"/>
          <w:sz w:val="22"/>
          <w:szCs w:val="22"/>
        </w:rPr>
      </w:pPr>
      <w:r w:rsidRPr="00F92C46">
        <w:rPr>
          <w:rFonts w:asciiTheme="minorHAnsi" w:hAnsiTheme="minorHAnsi" w:cstheme="minorHAnsi"/>
          <w:noProof/>
          <w:sz w:val="22"/>
          <w:szCs w:val="22"/>
          <w:lang w:val="en-IE" w:eastAsia="en-IE"/>
        </w:rPr>
        <w:drawing>
          <wp:inline distT="0" distB="0" distL="0" distR="0">
            <wp:extent cx="4324350" cy="2520000"/>
            <wp:effectExtent l="0" t="0" r="0" b="0"/>
            <wp:docPr id="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1420" w:rsidRPr="008A4176" w:rsidRDefault="00F01420" w:rsidP="008C1E95">
      <w:pPr>
        <w:tabs>
          <w:tab w:val="left" w:pos="-180"/>
        </w:tabs>
        <w:suppressAutoHyphens/>
        <w:spacing w:before="240"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Inpatient Admission through A&amp;E</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For those admitted through A&amp;E, over half (53%) waited less than four hours, while 17% waited over eight hours.  Half of those admitted as inpatients through A&amp;E (51%) spent most of their wait in cubicles, while 31% waited in an open plan area and 11% waited in a corridor.  Three-quarters of these respondents (73%) rated their treatment while in A&amp;E as excellent or good.</w:t>
      </w:r>
    </w:p>
    <w:p w:rsidR="00F01420" w:rsidRPr="008C1E95" w:rsidRDefault="00F01420" w:rsidP="008C1E95">
      <w:pPr>
        <w:tabs>
          <w:tab w:val="left" w:pos="-180"/>
        </w:tabs>
        <w:suppressAutoHyphens/>
        <w:spacing w:after="120"/>
        <w:rPr>
          <w:rFonts w:asciiTheme="minorHAnsi" w:hAnsiTheme="minorHAnsi" w:cstheme="minorHAnsi"/>
          <w:b/>
          <w:color w:val="6600CC"/>
          <w:sz w:val="22"/>
          <w:szCs w:val="22"/>
        </w:rPr>
      </w:pPr>
      <w:r w:rsidRPr="008C1E95">
        <w:rPr>
          <w:rFonts w:asciiTheme="minorHAnsi" w:hAnsiTheme="minorHAnsi" w:cstheme="minorHAnsi"/>
          <w:b/>
          <w:color w:val="6600CC"/>
          <w:sz w:val="22"/>
          <w:szCs w:val="22"/>
        </w:rPr>
        <w:lastRenderedPageBreak/>
        <w:t xml:space="preserve">Planned Inpatient Admissions </w:t>
      </w:r>
    </w:p>
    <w:p w:rsidR="00F01420" w:rsidRPr="00B149EB" w:rsidRDefault="00F01420" w:rsidP="008C1E95">
      <w:pPr>
        <w:spacing w:after="240" w:line="288" w:lineRule="auto"/>
        <w:rPr>
          <w:rFonts w:ascii="Calibri" w:hAnsi="Calibri" w:cs="Calibri"/>
          <w:sz w:val="22"/>
          <w:szCs w:val="22"/>
        </w:rPr>
      </w:pPr>
      <w:r w:rsidRPr="00B149EB">
        <w:rPr>
          <w:rFonts w:ascii="Calibri" w:hAnsi="Calibri" w:cs="Calibri"/>
          <w:sz w:val="22"/>
          <w:szCs w:val="22"/>
        </w:rPr>
        <w:t>A third of inpatients whose admission was planned waited less than one month, while almost one-quarter (23%) waited over six months.</w:t>
      </w:r>
    </w:p>
    <w:p w:rsidR="00F01420" w:rsidRDefault="00F01420" w:rsidP="00F01420">
      <w:pPr>
        <w:tabs>
          <w:tab w:val="center" w:pos="4075"/>
        </w:tabs>
        <w:autoSpaceDE w:val="0"/>
        <w:autoSpaceDN w:val="0"/>
        <w:adjustRightInd w:val="0"/>
        <w:rPr>
          <w:rFonts w:asciiTheme="minorHAnsi" w:hAnsiTheme="minorHAnsi" w:cstheme="minorHAnsi"/>
          <w:sz w:val="22"/>
          <w:szCs w:val="22"/>
        </w:rPr>
      </w:pPr>
      <w:r w:rsidRPr="00E6251D">
        <w:rPr>
          <w:rFonts w:asciiTheme="minorHAnsi" w:hAnsiTheme="minorHAnsi" w:cstheme="minorHAnsi"/>
          <w:noProof/>
          <w:sz w:val="22"/>
          <w:szCs w:val="22"/>
          <w:lang w:val="en-IE" w:eastAsia="en-IE"/>
        </w:rPr>
        <w:drawing>
          <wp:inline distT="0" distB="0" distL="0" distR="0">
            <wp:extent cx="4324350" cy="2520000"/>
            <wp:effectExtent l="0" t="0" r="0" b="0"/>
            <wp:docPr id="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01420" w:rsidRPr="00B149EB" w:rsidRDefault="00F01420" w:rsidP="008C1E95">
      <w:pPr>
        <w:spacing w:before="240" w:after="120" w:line="288" w:lineRule="auto"/>
        <w:rPr>
          <w:rFonts w:ascii="Calibri" w:hAnsi="Calibri" w:cs="Calibri"/>
          <w:sz w:val="22"/>
          <w:szCs w:val="22"/>
        </w:rPr>
      </w:pPr>
      <w:r w:rsidRPr="00B149EB">
        <w:rPr>
          <w:rFonts w:ascii="Calibri" w:hAnsi="Calibri" w:cs="Calibri"/>
          <w:sz w:val="22"/>
          <w:szCs w:val="22"/>
        </w:rPr>
        <w:t>The majority of these (91%) thought that they were given enough notice for their admission to hospital and more than two-thirds (70%) thought that they were admitted a</w:t>
      </w:r>
      <w:r w:rsidR="00937072">
        <w:rPr>
          <w:rFonts w:ascii="Calibri" w:hAnsi="Calibri" w:cs="Calibri"/>
          <w:sz w:val="22"/>
          <w:szCs w:val="22"/>
        </w:rPr>
        <w:t>s soon as necessary.  Over one-</w:t>
      </w:r>
      <w:r w:rsidRPr="00B149EB">
        <w:rPr>
          <w:rFonts w:ascii="Calibri" w:hAnsi="Calibri" w:cs="Calibri"/>
          <w:sz w:val="22"/>
          <w:szCs w:val="22"/>
        </w:rPr>
        <w:t>third (36%) felt that their symptoms had worsened to some extent while waiting.</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Over three-quarters of these respondents (77%) rated the way the hospital had managed the period between the decision to admit and actual admission as excellent or good.</w:t>
      </w:r>
    </w:p>
    <w:p w:rsidR="00F01420" w:rsidRPr="008A4176" w:rsidRDefault="00F01420" w:rsidP="008C1E95">
      <w:pPr>
        <w:tabs>
          <w:tab w:val="left" w:pos="-180"/>
        </w:tabs>
        <w:suppressAutoHyphens/>
        <w:spacing w:before="240"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 xml:space="preserve">Inpatient Experience </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The majority of inpatients agreed or strongly agreed that the ward or room they stayed in (93%) and the bathroom or toilets were clean (86%).  Two-thirds (65%) were happy with the food and drink they received.</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lastRenderedPageBreak/>
        <w:t>Over four-fifths of inpatients said that they received assistance when required within a reasonable time (82%) and that adequate pain relief was available when required (83%).</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The majority of respondents agreed or strongly agreed that they were given privacy both while being examined or treated (92%) and when their condition or treatment was being discussed (88%).</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Four-fifths of respondents (81%) agreed or strongly agreed that they had enough time to talk to medical staff.  The majority thought that staff talked to them in a way that helped them understand their condition and treatment (87%), and that they had the risks and benefits of treatment explained to them in a way that they could understand (86%), had their questions and concerns listened to (86%) and had the outcome of their operation / procedure explained in a way that they could understand (83%).  However 15% of respondents felt that medical staff had talked in front of them as if they were not there.</w:t>
      </w:r>
    </w:p>
    <w:p w:rsidR="00F01420" w:rsidRPr="008A4176" w:rsidRDefault="00F01420" w:rsidP="008C1E95">
      <w:pPr>
        <w:tabs>
          <w:tab w:val="left" w:pos="-180"/>
        </w:tabs>
        <w:suppressAutoHyphens/>
        <w:spacing w:before="240"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Inpatient Discharge from Hospital</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Over two-thirds of respondents said that their home situation had been taken into account when planning for discharge (71%), that they were happy with the length of their wait when told they could go home (72%) and that they received required medicines before discharge in time (69%).  Overall a third of inpatients (34%) were given help in arranging transport home, with half of those aged 75 and over (51%) receiving assistance.</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Over four-fifths of inpatients (83%) said that they had been given advice on how to look after themselves when they got home, while 79% said they knew who they should contact if they had any questions after discharge.  Three-quarters of respondents (73%) had been told about any danger signals to watch for at home and 71% said that help had been arranged for leaving hospital.</w:t>
      </w:r>
    </w:p>
    <w:p w:rsidR="00F01420" w:rsidRPr="008A4176" w:rsidRDefault="00F01420" w:rsidP="008C1E95">
      <w:pPr>
        <w:tabs>
          <w:tab w:val="left" w:pos="-180"/>
        </w:tabs>
        <w:suppressAutoHyphens/>
        <w:spacing w:before="240"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lastRenderedPageBreak/>
        <w:t xml:space="preserve">Overall Inpatient Experience </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Most inpatients agreed or strongly agreed that they had been treated with dignity and respect while in hospital (97%) and had been involved as much as they wanted to be in decisions about their care and treatment (87%).</w:t>
      </w:r>
    </w:p>
    <w:p w:rsidR="00F01420" w:rsidRPr="00B149EB" w:rsidRDefault="00F01420" w:rsidP="008C1E95">
      <w:pPr>
        <w:spacing w:after="180" w:line="288" w:lineRule="auto"/>
        <w:rPr>
          <w:rFonts w:ascii="Calibri" w:hAnsi="Calibri" w:cs="Calibri"/>
          <w:sz w:val="22"/>
          <w:szCs w:val="22"/>
        </w:rPr>
      </w:pPr>
      <w:r w:rsidRPr="00B149EB">
        <w:rPr>
          <w:rFonts w:ascii="Calibri" w:hAnsi="Calibri" w:cs="Calibri"/>
          <w:sz w:val="22"/>
          <w:szCs w:val="22"/>
        </w:rPr>
        <w:t>Over four-fifths of inpatients (84%) rated how the Health and Social Care staff worked together as either excellent or good.</w:t>
      </w:r>
    </w:p>
    <w:p w:rsidR="00F01420" w:rsidRDefault="00F01420" w:rsidP="00F01420">
      <w:pPr>
        <w:tabs>
          <w:tab w:val="center" w:pos="4075"/>
        </w:tabs>
        <w:autoSpaceDE w:val="0"/>
        <w:autoSpaceDN w:val="0"/>
        <w:adjustRightInd w:val="0"/>
        <w:spacing w:after="60"/>
        <w:rPr>
          <w:rFonts w:asciiTheme="minorHAnsi" w:hAnsiTheme="minorHAnsi" w:cstheme="minorHAnsi"/>
          <w:sz w:val="22"/>
          <w:szCs w:val="22"/>
        </w:rPr>
      </w:pPr>
      <w:r w:rsidRPr="00944596">
        <w:rPr>
          <w:rFonts w:asciiTheme="minorHAnsi" w:hAnsiTheme="minorHAnsi" w:cstheme="minorHAnsi"/>
          <w:noProof/>
          <w:sz w:val="22"/>
          <w:szCs w:val="22"/>
          <w:lang w:val="en-IE" w:eastAsia="en-IE"/>
        </w:rPr>
        <w:drawing>
          <wp:inline distT="0" distB="0" distL="0" distR="0">
            <wp:extent cx="4324350" cy="2160000"/>
            <wp:effectExtent l="19050" t="0" r="0" b="0"/>
            <wp:docPr id="7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The majority of inpatients (88%) rated their overall care as either excellent or good.</w:t>
      </w:r>
    </w:p>
    <w:p w:rsidR="00F01420" w:rsidRDefault="00F01420" w:rsidP="00F01420">
      <w:pPr>
        <w:tabs>
          <w:tab w:val="center" w:pos="4075"/>
        </w:tabs>
        <w:autoSpaceDE w:val="0"/>
        <w:autoSpaceDN w:val="0"/>
        <w:adjustRightInd w:val="0"/>
        <w:spacing w:after="60"/>
        <w:rPr>
          <w:rFonts w:asciiTheme="minorHAnsi" w:hAnsiTheme="minorHAnsi" w:cstheme="minorHAnsi"/>
          <w:sz w:val="22"/>
          <w:szCs w:val="22"/>
        </w:rPr>
      </w:pPr>
      <w:r w:rsidRPr="00694BEC">
        <w:rPr>
          <w:rFonts w:asciiTheme="minorHAnsi" w:hAnsiTheme="minorHAnsi" w:cstheme="minorHAnsi"/>
          <w:noProof/>
          <w:sz w:val="22"/>
          <w:szCs w:val="22"/>
          <w:lang w:val="en-IE" w:eastAsia="en-IE"/>
        </w:rPr>
        <w:drawing>
          <wp:inline distT="0" distB="0" distL="0" distR="0">
            <wp:extent cx="4324350" cy="2160000"/>
            <wp:effectExtent l="0" t="0" r="0" b="0"/>
            <wp:docPr id="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1420" w:rsidRPr="008A4176" w:rsidRDefault="00F01420" w:rsidP="008C1E95">
      <w:pPr>
        <w:pStyle w:val="Heading2"/>
        <w:spacing w:before="360" w:after="120"/>
        <w:rPr>
          <w:rFonts w:asciiTheme="minorHAnsi" w:hAnsiTheme="minorHAnsi" w:cstheme="minorHAnsi"/>
          <w:color w:val="6600CC"/>
          <w:sz w:val="24"/>
          <w:szCs w:val="24"/>
        </w:rPr>
      </w:pPr>
      <w:bookmarkStart w:id="24" w:name="_Ref381945875"/>
      <w:r w:rsidRPr="008A4176">
        <w:rPr>
          <w:rFonts w:asciiTheme="minorHAnsi" w:hAnsiTheme="minorHAnsi" w:cstheme="minorHAnsi"/>
          <w:color w:val="6600CC"/>
          <w:sz w:val="24"/>
          <w:szCs w:val="24"/>
        </w:rPr>
        <w:lastRenderedPageBreak/>
        <w:t>Outpatients</w:t>
      </w:r>
      <w:bookmarkEnd w:id="24"/>
    </w:p>
    <w:p w:rsidR="00F01420" w:rsidRPr="008A4176" w:rsidRDefault="00F01420" w:rsidP="008C1E95">
      <w:pPr>
        <w:tabs>
          <w:tab w:val="left" w:pos="-180"/>
        </w:tabs>
        <w:suppressAutoHyphens/>
        <w:spacing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Outpatients Admissions</w:t>
      </w:r>
    </w:p>
    <w:p w:rsidR="00F01420" w:rsidRPr="00B149EB" w:rsidRDefault="00F01420" w:rsidP="00B149EB">
      <w:pPr>
        <w:spacing w:after="120" w:line="288" w:lineRule="auto"/>
        <w:rPr>
          <w:rFonts w:ascii="Calibri" w:hAnsi="Calibri" w:cs="Calibri"/>
          <w:sz w:val="22"/>
          <w:szCs w:val="22"/>
        </w:rPr>
      </w:pPr>
      <w:r w:rsidRPr="00B149EB">
        <w:rPr>
          <w:rFonts w:ascii="Calibri" w:hAnsi="Calibri" w:cs="Calibri"/>
          <w:sz w:val="22"/>
          <w:szCs w:val="22"/>
        </w:rPr>
        <w:t>Overall a third of respondents (35%) had attended hospital over the last year as an outpatient (38% of females and 31% of males).  The likelihood of attendance as an outpatient increased among respondents with age from 23% of 16-24 year olds to 49% of those aged 75 and over.</w:t>
      </w:r>
    </w:p>
    <w:p w:rsidR="00F01420" w:rsidRPr="00B149EB" w:rsidRDefault="00F01420" w:rsidP="001B437F">
      <w:pPr>
        <w:spacing w:after="240" w:line="288" w:lineRule="auto"/>
        <w:rPr>
          <w:rFonts w:ascii="Calibri" w:hAnsi="Calibri" w:cs="Calibri"/>
          <w:sz w:val="22"/>
          <w:szCs w:val="22"/>
        </w:rPr>
      </w:pPr>
      <w:r w:rsidRPr="00B149EB">
        <w:rPr>
          <w:rFonts w:ascii="Calibri" w:hAnsi="Calibri" w:cs="Calibri"/>
          <w:sz w:val="22"/>
          <w:szCs w:val="22"/>
        </w:rPr>
        <w:t>Over half of all respondents (55%) were seen as an outpatient within 6 weeks of being referred, while 3% had to wait over a year for an outpatient appointment.</w:t>
      </w:r>
    </w:p>
    <w:p w:rsidR="00B149EB" w:rsidRDefault="00F01420" w:rsidP="00B149EB">
      <w:pPr>
        <w:spacing w:after="120" w:line="288" w:lineRule="auto"/>
        <w:rPr>
          <w:rFonts w:asciiTheme="minorHAnsi" w:hAnsiTheme="minorHAnsi" w:cstheme="minorHAnsi"/>
          <w:sz w:val="22"/>
          <w:szCs w:val="22"/>
        </w:rPr>
      </w:pPr>
      <w:r w:rsidRPr="00584EA0">
        <w:rPr>
          <w:rFonts w:asciiTheme="minorHAnsi" w:hAnsiTheme="minorHAnsi" w:cstheme="minorHAnsi"/>
          <w:noProof/>
          <w:sz w:val="22"/>
          <w:szCs w:val="22"/>
          <w:lang w:val="en-IE" w:eastAsia="en-IE"/>
        </w:rPr>
        <w:drawing>
          <wp:inline distT="0" distB="0" distL="0" distR="0">
            <wp:extent cx="4324350" cy="2520000"/>
            <wp:effectExtent l="0" t="0" r="0" b="0"/>
            <wp:docPr id="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1420" w:rsidRPr="00B149EB" w:rsidRDefault="00F01420" w:rsidP="001B437F">
      <w:pPr>
        <w:spacing w:before="240" w:after="120" w:line="288" w:lineRule="auto"/>
        <w:rPr>
          <w:rFonts w:ascii="Calibri" w:hAnsi="Calibri" w:cs="Calibri"/>
          <w:sz w:val="22"/>
          <w:szCs w:val="22"/>
        </w:rPr>
      </w:pPr>
      <w:r>
        <w:rPr>
          <w:rFonts w:asciiTheme="minorHAnsi" w:hAnsiTheme="minorHAnsi" w:cstheme="minorHAnsi"/>
          <w:sz w:val="22"/>
          <w:szCs w:val="22"/>
        </w:rPr>
        <w:t xml:space="preserve">A </w:t>
      </w:r>
      <w:r w:rsidRPr="00B149EB">
        <w:rPr>
          <w:rFonts w:ascii="Calibri" w:hAnsi="Calibri" w:cs="Calibri"/>
          <w:sz w:val="22"/>
          <w:szCs w:val="22"/>
        </w:rPr>
        <w:t xml:space="preserve">minority of outpatients had their appointment changed to a later date (8%).  Almost </w:t>
      </w:r>
      <w:r w:rsidRPr="00B149EB">
        <w:rPr>
          <w:rFonts w:asciiTheme="minorHAnsi" w:hAnsiTheme="minorHAnsi" w:cstheme="minorHAnsi"/>
          <w:sz w:val="22"/>
          <w:szCs w:val="22"/>
        </w:rPr>
        <w:t>three</w:t>
      </w:r>
      <w:r w:rsidRPr="00B149EB">
        <w:rPr>
          <w:rFonts w:ascii="Calibri" w:hAnsi="Calibri" w:cs="Calibri"/>
          <w:sz w:val="22"/>
          <w:szCs w:val="22"/>
        </w:rPr>
        <w:t xml:space="preserve">-quarters of respondents felt the length of time they were waiting before their hospital appointment was as soon as necessary, while 12% thought their appointment should have been a lot sooner. Nearly a quarter of all respondents (23%) stated their symptoms got worse while they awaited their appointment. </w:t>
      </w:r>
    </w:p>
    <w:p w:rsidR="001B437F" w:rsidRDefault="001B437F" w:rsidP="008C1E95">
      <w:pPr>
        <w:tabs>
          <w:tab w:val="left" w:pos="-180"/>
        </w:tabs>
        <w:suppressAutoHyphens/>
        <w:spacing w:after="120"/>
        <w:rPr>
          <w:rFonts w:asciiTheme="minorHAnsi" w:hAnsiTheme="minorHAnsi" w:cstheme="minorHAnsi"/>
          <w:b/>
          <w:color w:val="6600CC"/>
          <w:sz w:val="22"/>
          <w:szCs w:val="22"/>
        </w:rPr>
      </w:pPr>
    </w:p>
    <w:p w:rsidR="00F01420" w:rsidRPr="008A4176" w:rsidRDefault="00F01420" w:rsidP="008C1E95">
      <w:pPr>
        <w:tabs>
          <w:tab w:val="left" w:pos="-180"/>
        </w:tabs>
        <w:suppressAutoHyphens/>
        <w:spacing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lastRenderedPageBreak/>
        <w:t xml:space="preserve">Outpatients Discharge from Hospital </w:t>
      </w:r>
    </w:p>
    <w:p w:rsidR="00F01420" w:rsidRDefault="00F01420" w:rsidP="001B437F">
      <w:pPr>
        <w:spacing w:after="240" w:line="288" w:lineRule="auto"/>
        <w:rPr>
          <w:rFonts w:asciiTheme="minorHAnsi" w:hAnsiTheme="minorHAnsi" w:cstheme="minorHAnsi"/>
          <w:sz w:val="22"/>
          <w:szCs w:val="22"/>
        </w:rPr>
      </w:pPr>
      <w:r>
        <w:rPr>
          <w:rFonts w:asciiTheme="minorHAnsi" w:hAnsiTheme="minorHAnsi" w:cstheme="minorHAnsi"/>
          <w:sz w:val="22"/>
          <w:szCs w:val="22"/>
        </w:rPr>
        <w:t xml:space="preserve">Three-fifths of </w:t>
      </w:r>
      <w:r w:rsidRPr="002450B9">
        <w:rPr>
          <w:rFonts w:asciiTheme="minorHAnsi" w:hAnsiTheme="minorHAnsi" w:cstheme="minorHAnsi"/>
          <w:sz w:val="22"/>
          <w:szCs w:val="22"/>
        </w:rPr>
        <w:t>respondents</w:t>
      </w:r>
      <w:r>
        <w:rPr>
          <w:rFonts w:asciiTheme="minorHAnsi" w:hAnsiTheme="minorHAnsi" w:cstheme="minorHAnsi"/>
          <w:sz w:val="22"/>
          <w:szCs w:val="22"/>
        </w:rPr>
        <w:t xml:space="preserve"> (60%)</w:t>
      </w:r>
      <w:r w:rsidRPr="002450B9">
        <w:rPr>
          <w:rFonts w:asciiTheme="minorHAnsi" w:hAnsiTheme="minorHAnsi" w:cstheme="minorHAnsi"/>
          <w:sz w:val="22"/>
          <w:szCs w:val="22"/>
        </w:rPr>
        <w:t xml:space="preserve"> </w:t>
      </w:r>
      <w:r>
        <w:rPr>
          <w:rFonts w:asciiTheme="minorHAnsi" w:hAnsiTheme="minorHAnsi" w:cstheme="minorHAnsi"/>
          <w:sz w:val="22"/>
          <w:szCs w:val="22"/>
        </w:rPr>
        <w:t xml:space="preserve">either agreed or </w:t>
      </w:r>
      <w:r w:rsidRPr="002450B9">
        <w:rPr>
          <w:rFonts w:asciiTheme="minorHAnsi" w:hAnsiTheme="minorHAnsi" w:cstheme="minorHAnsi"/>
          <w:sz w:val="22"/>
          <w:szCs w:val="22"/>
        </w:rPr>
        <w:t>strongly agreed that they were</w:t>
      </w:r>
      <w:r>
        <w:rPr>
          <w:rFonts w:asciiTheme="minorHAnsi" w:hAnsiTheme="minorHAnsi" w:cstheme="minorHAnsi"/>
          <w:sz w:val="22"/>
          <w:szCs w:val="22"/>
        </w:rPr>
        <w:t xml:space="preserve"> told about any danger signals to watch for when they got home.  In contrast, almost a fifth of respondents (18%) disagreed or strongly disagreed.  Overall, 13% of respondents were not confident that the help they needed had been arranged for them after leaving hospital.</w:t>
      </w:r>
    </w:p>
    <w:p w:rsidR="00F01420" w:rsidRDefault="00F01420" w:rsidP="00F01420">
      <w:pPr>
        <w:tabs>
          <w:tab w:val="left" w:pos="-180"/>
        </w:tabs>
        <w:suppressAutoHyphens/>
        <w:spacing w:before="120"/>
        <w:rPr>
          <w:rFonts w:asciiTheme="minorHAnsi" w:hAnsiTheme="minorHAnsi" w:cstheme="minorHAnsi"/>
          <w:sz w:val="22"/>
          <w:szCs w:val="22"/>
        </w:rPr>
      </w:pPr>
      <w:r w:rsidRPr="00E93BE0">
        <w:rPr>
          <w:rFonts w:asciiTheme="minorHAnsi" w:hAnsiTheme="minorHAnsi" w:cstheme="minorHAnsi"/>
          <w:b/>
        </w:rPr>
        <w:t>I was confident that any help I needed has been arranged for when I left hospital</w:t>
      </w:r>
    </w:p>
    <w:p w:rsidR="001B437F" w:rsidRDefault="00F01420" w:rsidP="00B149EB">
      <w:pPr>
        <w:spacing w:after="120" w:line="288" w:lineRule="auto"/>
        <w:jc w:val="left"/>
        <w:rPr>
          <w:rFonts w:asciiTheme="minorHAnsi" w:hAnsiTheme="minorHAnsi" w:cstheme="minorHAnsi"/>
          <w:noProof/>
          <w:sz w:val="22"/>
          <w:szCs w:val="22"/>
          <w:lang w:eastAsia="en-GB"/>
        </w:rPr>
      </w:pPr>
      <w:r w:rsidRPr="007F069B">
        <w:rPr>
          <w:rFonts w:asciiTheme="minorHAnsi" w:hAnsiTheme="minorHAnsi" w:cstheme="minorHAnsi"/>
          <w:noProof/>
          <w:sz w:val="22"/>
          <w:szCs w:val="22"/>
          <w:lang w:val="en-IE" w:eastAsia="en-IE"/>
        </w:rPr>
        <w:drawing>
          <wp:inline distT="0" distB="0" distL="0" distR="0">
            <wp:extent cx="4324350" cy="2160000"/>
            <wp:effectExtent l="0" t="0" r="0" b="0"/>
            <wp:docPr id="7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F069B">
        <w:rPr>
          <w:rFonts w:asciiTheme="minorHAnsi" w:hAnsiTheme="minorHAnsi" w:cstheme="minorHAnsi"/>
          <w:noProof/>
          <w:sz w:val="22"/>
          <w:szCs w:val="22"/>
          <w:lang w:eastAsia="en-GB"/>
        </w:rPr>
        <w:t xml:space="preserve"> </w:t>
      </w:r>
    </w:p>
    <w:p w:rsidR="001B437F" w:rsidRDefault="001B437F" w:rsidP="00B149EB">
      <w:pPr>
        <w:spacing w:after="120" w:line="288" w:lineRule="auto"/>
        <w:jc w:val="left"/>
        <w:rPr>
          <w:rFonts w:asciiTheme="minorHAnsi" w:hAnsiTheme="minorHAnsi" w:cstheme="minorHAnsi"/>
          <w:noProof/>
          <w:sz w:val="22"/>
          <w:szCs w:val="22"/>
          <w:lang w:eastAsia="en-GB"/>
        </w:rPr>
      </w:pPr>
    </w:p>
    <w:p w:rsidR="00F01420" w:rsidRDefault="00F01420" w:rsidP="00B149EB">
      <w:pPr>
        <w:spacing w:after="120" w:line="288" w:lineRule="auto"/>
        <w:jc w:val="left"/>
        <w:rPr>
          <w:rFonts w:asciiTheme="minorHAnsi" w:hAnsiTheme="minorHAnsi" w:cstheme="minorHAnsi"/>
          <w:sz w:val="22"/>
          <w:szCs w:val="22"/>
        </w:rPr>
      </w:pPr>
      <w:r>
        <w:rPr>
          <w:rFonts w:asciiTheme="minorHAnsi" w:hAnsiTheme="minorHAnsi" w:cstheme="minorHAnsi"/>
          <w:sz w:val="22"/>
          <w:szCs w:val="22"/>
        </w:rPr>
        <w:t>Nearly three-quarters of all respondents (72%) agreed they were kept informed on the outcomes of their appointment.  Most respondents (89%) felt the length of time they waited to hear the outcome of their appointment was reasonable.</w:t>
      </w:r>
    </w:p>
    <w:p w:rsidR="00F01420" w:rsidRDefault="00F01420" w:rsidP="00B149EB">
      <w:pPr>
        <w:spacing w:after="120" w:line="288" w:lineRule="auto"/>
        <w:rPr>
          <w:rFonts w:asciiTheme="minorHAnsi" w:hAnsiTheme="minorHAnsi" w:cstheme="minorHAnsi"/>
          <w:sz w:val="22"/>
          <w:szCs w:val="22"/>
        </w:rPr>
      </w:pPr>
      <w:r>
        <w:rPr>
          <w:rFonts w:asciiTheme="minorHAnsi" w:hAnsiTheme="minorHAnsi" w:cstheme="minorHAnsi"/>
          <w:sz w:val="22"/>
          <w:szCs w:val="22"/>
        </w:rPr>
        <w:t>The majority of outpatients (87%) rated their overall care as either excellent or good.</w:t>
      </w:r>
    </w:p>
    <w:p w:rsidR="001B437F" w:rsidRDefault="001B437F" w:rsidP="00B149EB">
      <w:pPr>
        <w:spacing w:after="120" w:line="288" w:lineRule="auto"/>
        <w:rPr>
          <w:rFonts w:asciiTheme="minorHAnsi" w:hAnsiTheme="minorHAnsi" w:cstheme="minorHAnsi"/>
          <w:sz w:val="22"/>
          <w:szCs w:val="22"/>
        </w:rPr>
      </w:pPr>
    </w:p>
    <w:p w:rsidR="001B437F" w:rsidRPr="001E218E" w:rsidRDefault="001B437F" w:rsidP="00B149EB">
      <w:pPr>
        <w:spacing w:after="120" w:line="288" w:lineRule="auto"/>
        <w:rPr>
          <w:rFonts w:asciiTheme="minorHAnsi" w:hAnsiTheme="minorHAnsi" w:cstheme="minorHAnsi"/>
          <w:sz w:val="22"/>
          <w:szCs w:val="22"/>
        </w:rPr>
      </w:pPr>
    </w:p>
    <w:p w:rsidR="00F01420" w:rsidRPr="008A4176" w:rsidRDefault="00F01420" w:rsidP="008C1E95">
      <w:pPr>
        <w:pStyle w:val="Heading2"/>
        <w:spacing w:before="360" w:after="120"/>
        <w:rPr>
          <w:rFonts w:asciiTheme="minorHAnsi" w:hAnsiTheme="minorHAnsi" w:cstheme="minorHAnsi"/>
          <w:color w:val="6600CC"/>
          <w:sz w:val="24"/>
          <w:szCs w:val="24"/>
        </w:rPr>
      </w:pPr>
      <w:bookmarkStart w:id="25" w:name="_Ref381945916"/>
      <w:r w:rsidRPr="008A4176">
        <w:rPr>
          <w:rFonts w:asciiTheme="minorHAnsi" w:hAnsiTheme="minorHAnsi" w:cstheme="minorHAnsi"/>
          <w:color w:val="6600CC"/>
          <w:sz w:val="24"/>
          <w:szCs w:val="24"/>
        </w:rPr>
        <w:lastRenderedPageBreak/>
        <w:t>Accident and Emergency</w:t>
      </w:r>
      <w:bookmarkEnd w:id="25"/>
    </w:p>
    <w:p w:rsidR="00F01420" w:rsidRPr="008A4176" w:rsidRDefault="00F01420" w:rsidP="008C1E95">
      <w:pPr>
        <w:tabs>
          <w:tab w:val="left" w:pos="-180"/>
        </w:tabs>
        <w:suppressAutoHyphens/>
        <w:spacing w:after="120"/>
        <w:rPr>
          <w:rFonts w:asciiTheme="minorHAnsi" w:hAnsiTheme="minorHAnsi" w:cstheme="minorHAnsi"/>
          <w:b/>
          <w:color w:val="6600CC"/>
          <w:sz w:val="22"/>
          <w:szCs w:val="22"/>
        </w:rPr>
      </w:pPr>
      <w:r w:rsidRPr="008A4176">
        <w:rPr>
          <w:rFonts w:asciiTheme="minorHAnsi" w:hAnsiTheme="minorHAnsi" w:cstheme="minorHAnsi"/>
          <w:b/>
          <w:color w:val="6600CC"/>
          <w:sz w:val="22"/>
          <w:szCs w:val="22"/>
        </w:rPr>
        <w:t xml:space="preserve">Attendance at Accident and Emergency </w:t>
      </w:r>
    </w:p>
    <w:p w:rsidR="00F01420" w:rsidRDefault="00F01420" w:rsidP="00B149EB">
      <w:pPr>
        <w:spacing w:after="120" w:line="288" w:lineRule="auto"/>
        <w:rPr>
          <w:rFonts w:asciiTheme="minorHAnsi" w:hAnsiTheme="minorHAnsi" w:cstheme="minorHAnsi"/>
          <w:sz w:val="22"/>
          <w:szCs w:val="22"/>
        </w:rPr>
      </w:pPr>
      <w:r>
        <w:rPr>
          <w:rFonts w:asciiTheme="minorHAnsi" w:hAnsiTheme="minorHAnsi" w:cstheme="minorHAnsi"/>
          <w:sz w:val="22"/>
          <w:szCs w:val="22"/>
        </w:rPr>
        <w:t>Overall just under one-fifth of respondents (18%) had attended A&amp;E over the last year (17% of females and 19% of males).  Those in the 16-24 age-group (28%) were almost twice as likely as other age-groups to attend A&amp;E (14-17%).</w:t>
      </w:r>
    </w:p>
    <w:p w:rsidR="00F01420" w:rsidRDefault="00F01420" w:rsidP="00B149EB">
      <w:pPr>
        <w:spacing w:after="120" w:line="288" w:lineRule="auto"/>
        <w:rPr>
          <w:rFonts w:asciiTheme="minorHAnsi" w:hAnsiTheme="minorHAnsi" w:cstheme="minorHAnsi"/>
          <w:sz w:val="22"/>
          <w:szCs w:val="22"/>
        </w:rPr>
      </w:pPr>
      <w:r>
        <w:rPr>
          <w:rFonts w:asciiTheme="minorHAnsi" w:hAnsiTheme="minorHAnsi" w:cstheme="minorHAnsi"/>
          <w:sz w:val="22"/>
          <w:szCs w:val="22"/>
        </w:rPr>
        <w:t>The main reasons for attending A&amp;E were a personal decision by the respondent (42%), a referral by a health professional (24%), and being taken by ambulance (12%).  A relatively small proportion of A&amp;E attendances (5%) were made as a result of the respondent’s GP surgery or Health Centre being closed.</w:t>
      </w:r>
    </w:p>
    <w:p w:rsidR="00F01420" w:rsidRDefault="00F01420" w:rsidP="00B149EB">
      <w:pPr>
        <w:spacing w:after="120" w:line="288" w:lineRule="auto"/>
        <w:rPr>
          <w:rFonts w:asciiTheme="minorHAnsi" w:hAnsiTheme="minorHAnsi" w:cstheme="minorHAnsi"/>
          <w:sz w:val="22"/>
          <w:szCs w:val="22"/>
        </w:rPr>
      </w:pPr>
      <w:r>
        <w:rPr>
          <w:rFonts w:asciiTheme="minorHAnsi" w:hAnsiTheme="minorHAnsi" w:cstheme="minorHAnsi"/>
          <w:sz w:val="22"/>
          <w:szCs w:val="22"/>
        </w:rPr>
        <w:t>Almost half of respondents who presented at A&amp;E (48%) attended due to an accidental injury (cut, sprain, broken bone, burn or bite).  Those in the 16-24 age-group (71%) were most to attend A&amp;E for this reason.  Overall one-tenth of respondents presented due to heart problems, angina, stroke or chest pains, however over a quarter (26%) of those aged 75 and over attended for this reason.</w:t>
      </w:r>
    </w:p>
    <w:p w:rsidR="001B437F" w:rsidRDefault="00F01420" w:rsidP="00B149EB">
      <w:pPr>
        <w:spacing w:after="120" w:line="288" w:lineRule="auto"/>
        <w:jc w:val="left"/>
        <w:rPr>
          <w:rFonts w:asciiTheme="minorHAnsi" w:hAnsiTheme="minorHAnsi" w:cstheme="minorHAnsi"/>
          <w:sz w:val="22"/>
          <w:szCs w:val="22"/>
        </w:rPr>
      </w:pPr>
      <w:r w:rsidRPr="00013BA3">
        <w:rPr>
          <w:rFonts w:asciiTheme="minorHAnsi" w:hAnsiTheme="minorHAnsi" w:cstheme="minorHAnsi"/>
          <w:noProof/>
          <w:sz w:val="22"/>
          <w:szCs w:val="22"/>
          <w:lang w:val="en-IE" w:eastAsia="en-IE"/>
        </w:rPr>
        <w:drawing>
          <wp:inline distT="0" distB="0" distL="0" distR="0">
            <wp:extent cx="4324350" cy="2520000"/>
            <wp:effectExtent l="19050" t="0" r="0" b="0"/>
            <wp:docPr id="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01420" w:rsidRDefault="00F01420" w:rsidP="00B149EB">
      <w:pPr>
        <w:spacing w:after="120" w:line="288" w:lineRule="auto"/>
        <w:jc w:val="left"/>
        <w:rPr>
          <w:rFonts w:asciiTheme="minorHAnsi" w:hAnsiTheme="minorHAnsi" w:cstheme="minorHAnsi"/>
          <w:sz w:val="22"/>
          <w:szCs w:val="22"/>
        </w:rPr>
      </w:pPr>
      <w:r>
        <w:rPr>
          <w:rFonts w:asciiTheme="minorHAnsi" w:hAnsiTheme="minorHAnsi" w:cstheme="minorHAnsi"/>
          <w:sz w:val="22"/>
          <w:szCs w:val="22"/>
        </w:rPr>
        <w:lastRenderedPageBreak/>
        <w:t>The vast majority of respondents felt they had privacy when being examined or treated (96%) and that they had been treated with respect and dignity (95%).</w:t>
      </w:r>
    </w:p>
    <w:p w:rsidR="00F01420" w:rsidRDefault="00F01420" w:rsidP="001B437F">
      <w:pPr>
        <w:spacing w:after="360" w:line="288" w:lineRule="auto"/>
        <w:jc w:val="left"/>
        <w:rPr>
          <w:rFonts w:asciiTheme="minorHAnsi" w:hAnsiTheme="minorHAnsi" w:cstheme="minorHAnsi"/>
          <w:sz w:val="22"/>
          <w:szCs w:val="22"/>
        </w:rPr>
      </w:pPr>
      <w:r>
        <w:rPr>
          <w:rFonts w:asciiTheme="minorHAnsi" w:hAnsiTheme="minorHAnsi" w:cstheme="minorHAnsi"/>
          <w:sz w:val="22"/>
          <w:szCs w:val="22"/>
        </w:rPr>
        <w:t>Almost two-thirds of A&amp;E visits (64%) lasted under four hours, while 9% of visits lasted eight hours or more.</w:t>
      </w:r>
    </w:p>
    <w:p w:rsidR="00F01420" w:rsidRDefault="00F01420" w:rsidP="00F01420">
      <w:pPr>
        <w:tabs>
          <w:tab w:val="center" w:pos="4075"/>
        </w:tabs>
        <w:autoSpaceDE w:val="0"/>
        <w:autoSpaceDN w:val="0"/>
        <w:adjustRightInd w:val="0"/>
        <w:rPr>
          <w:rFonts w:asciiTheme="minorHAnsi" w:hAnsiTheme="minorHAnsi" w:cstheme="minorHAnsi"/>
          <w:sz w:val="22"/>
          <w:szCs w:val="22"/>
        </w:rPr>
      </w:pPr>
      <w:r w:rsidRPr="006C676D">
        <w:rPr>
          <w:rFonts w:asciiTheme="minorHAnsi" w:hAnsiTheme="minorHAnsi" w:cstheme="minorHAnsi"/>
          <w:noProof/>
          <w:sz w:val="22"/>
          <w:szCs w:val="22"/>
          <w:lang w:val="en-IE" w:eastAsia="en-IE"/>
        </w:rPr>
        <w:drawing>
          <wp:inline distT="0" distB="0" distL="0" distR="0">
            <wp:extent cx="4324350" cy="2520000"/>
            <wp:effectExtent l="19050" t="0" r="0" b="0"/>
            <wp:docPr id="8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01420" w:rsidRDefault="00F01420" w:rsidP="001B437F">
      <w:pPr>
        <w:spacing w:before="240" w:after="240" w:line="288" w:lineRule="auto"/>
        <w:rPr>
          <w:rFonts w:asciiTheme="minorHAnsi" w:hAnsiTheme="minorHAnsi" w:cstheme="minorHAnsi"/>
          <w:sz w:val="22"/>
          <w:szCs w:val="22"/>
        </w:rPr>
      </w:pPr>
      <w:r>
        <w:rPr>
          <w:rFonts w:asciiTheme="minorHAnsi" w:hAnsiTheme="minorHAnsi" w:cstheme="minorHAnsi"/>
          <w:sz w:val="22"/>
          <w:szCs w:val="22"/>
        </w:rPr>
        <w:t>Four-fifths of respondents who attended A&amp;E (78%) returned home at the end of their visit, while 21% were admitted to hospital.  The likelihood of being admitted to hospital increased with age from 11% of 16-24 year olds to 47% of those aged 75 and over.</w:t>
      </w: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1B437F" w:rsidRDefault="001B437F" w:rsidP="00F01420">
      <w:pPr>
        <w:tabs>
          <w:tab w:val="center" w:pos="4075"/>
        </w:tabs>
        <w:autoSpaceDE w:val="0"/>
        <w:autoSpaceDN w:val="0"/>
        <w:adjustRightInd w:val="0"/>
        <w:rPr>
          <w:rFonts w:asciiTheme="minorHAnsi" w:hAnsiTheme="minorHAnsi" w:cstheme="minorHAnsi"/>
          <w:b/>
          <w:bCs/>
        </w:rPr>
      </w:pPr>
    </w:p>
    <w:p w:rsidR="00F01420" w:rsidRPr="00851207" w:rsidRDefault="00F01420" w:rsidP="00F01420">
      <w:pPr>
        <w:tabs>
          <w:tab w:val="center" w:pos="4075"/>
        </w:tabs>
        <w:autoSpaceDE w:val="0"/>
        <w:autoSpaceDN w:val="0"/>
        <w:adjustRightInd w:val="0"/>
        <w:rPr>
          <w:rFonts w:asciiTheme="minorHAnsi" w:hAnsiTheme="minorHAnsi" w:cstheme="minorHAnsi"/>
        </w:rPr>
      </w:pPr>
      <w:r w:rsidRPr="00851207">
        <w:rPr>
          <w:rFonts w:asciiTheme="minorHAnsi" w:hAnsiTheme="minorHAnsi" w:cstheme="minorHAnsi"/>
          <w:b/>
          <w:bCs/>
        </w:rPr>
        <w:lastRenderedPageBreak/>
        <w:t xml:space="preserve">Proportion of those who were admitted to hospital after attending A&amp;E by Age </w:t>
      </w:r>
    </w:p>
    <w:p w:rsidR="00F01420" w:rsidRDefault="00F01420" w:rsidP="00F01420">
      <w:pPr>
        <w:tabs>
          <w:tab w:val="center" w:pos="4075"/>
        </w:tabs>
        <w:autoSpaceDE w:val="0"/>
        <w:autoSpaceDN w:val="0"/>
        <w:adjustRightInd w:val="0"/>
        <w:rPr>
          <w:rFonts w:asciiTheme="minorHAnsi" w:hAnsiTheme="minorHAnsi" w:cstheme="minorHAnsi"/>
          <w:sz w:val="22"/>
          <w:szCs w:val="22"/>
        </w:rPr>
      </w:pPr>
      <w:r w:rsidRPr="00851207">
        <w:rPr>
          <w:rFonts w:asciiTheme="minorHAnsi" w:hAnsiTheme="minorHAnsi" w:cstheme="minorHAnsi"/>
          <w:noProof/>
          <w:sz w:val="22"/>
          <w:szCs w:val="22"/>
          <w:lang w:val="en-IE" w:eastAsia="en-IE"/>
        </w:rPr>
        <w:drawing>
          <wp:inline distT="0" distB="0" distL="0" distR="0">
            <wp:extent cx="4324350" cy="2520000"/>
            <wp:effectExtent l="0" t="0" r="0" b="0"/>
            <wp:docPr id="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7026A" w:rsidRDefault="0067026A" w:rsidP="00B149EB">
      <w:pPr>
        <w:spacing w:after="120" w:line="288" w:lineRule="auto"/>
        <w:rPr>
          <w:rFonts w:asciiTheme="minorHAnsi" w:hAnsiTheme="minorHAnsi" w:cstheme="minorHAnsi"/>
          <w:sz w:val="22"/>
          <w:szCs w:val="22"/>
        </w:rPr>
      </w:pPr>
    </w:p>
    <w:p w:rsidR="00F01420" w:rsidRDefault="00F01420" w:rsidP="00B149EB">
      <w:pPr>
        <w:spacing w:after="120" w:line="288" w:lineRule="auto"/>
        <w:rPr>
          <w:rFonts w:asciiTheme="minorHAnsi" w:hAnsiTheme="minorHAnsi" w:cstheme="minorHAnsi"/>
          <w:sz w:val="22"/>
          <w:szCs w:val="22"/>
        </w:rPr>
      </w:pPr>
      <w:r>
        <w:rPr>
          <w:rFonts w:asciiTheme="minorHAnsi" w:hAnsiTheme="minorHAnsi" w:cstheme="minorHAnsi"/>
          <w:sz w:val="22"/>
          <w:szCs w:val="22"/>
        </w:rPr>
        <w:t>Over four-fifths of those who attended A&amp;E (84%) rated the overall care they received in A&amp;E as excellent or good.</w:t>
      </w:r>
    </w:p>
    <w:p w:rsidR="00F01420" w:rsidRDefault="00F01420" w:rsidP="00B149EB">
      <w:pPr>
        <w:spacing w:after="120" w:line="288" w:lineRule="auto"/>
        <w:rPr>
          <w:rFonts w:asciiTheme="minorHAnsi" w:hAnsiTheme="minorHAnsi" w:cstheme="minorHAnsi"/>
          <w:sz w:val="22"/>
          <w:szCs w:val="22"/>
        </w:rPr>
      </w:pPr>
    </w:p>
    <w:p w:rsidR="0067026A" w:rsidRDefault="0067026A" w:rsidP="00F01420">
      <w:pPr>
        <w:pStyle w:val="Heading2"/>
        <w:spacing w:before="0" w:after="60"/>
        <w:rPr>
          <w:rFonts w:asciiTheme="minorHAnsi" w:hAnsiTheme="minorHAnsi" w:cstheme="minorHAnsi"/>
          <w:sz w:val="24"/>
          <w:szCs w:val="24"/>
        </w:rPr>
        <w:sectPr w:rsidR="0067026A" w:rsidSect="007033B0">
          <w:pgSz w:w="16838" w:h="11906" w:orient="landscape"/>
          <w:pgMar w:top="737" w:right="1247" w:bottom="737" w:left="1247" w:header="454" w:footer="567" w:gutter="0"/>
          <w:cols w:num="2" w:space="454"/>
          <w:docGrid w:linePitch="360"/>
        </w:sectPr>
      </w:pPr>
      <w:bookmarkStart w:id="26" w:name="_Ref381945921"/>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436329" w:rsidRPr="00DC2342" w:rsidTr="00E535C6">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FFCCCC"/>
            </w:tcBorders>
            <w:shd w:val="clear" w:color="auto" w:fill="CC3399"/>
            <w:textDirection w:val="btLr"/>
          </w:tcPr>
          <w:p w:rsidR="00436329" w:rsidRPr="00E535C6" w:rsidRDefault="005F315B" w:rsidP="00406DE6">
            <w:pPr>
              <w:pStyle w:val="Heading2"/>
              <w:spacing w:before="0" w:after="60"/>
              <w:ind w:left="113" w:right="113"/>
              <w:jc w:val="center"/>
              <w:outlineLvl w:val="1"/>
              <w:rPr>
                <w:rFonts w:ascii="Calibri" w:hAnsi="Calibri" w:cs="Calibri"/>
                <w:i/>
                <w:color w:val="FFCCCC"/>
                <w:sz w:val="72"/>
                <w:szCs w:val="72"/>
              </w:rPr>
            </w:pPr>
            <w:bookmarkStart w:id="27" w:name="_Ref382555541"/>
            <w:r w:rsidRPr="00E535C6">
              <w:rPr>
                <w:rFonts w:ascii="Calibri" w:hAnsi="Calibri" w:cs="Calibri"/>
                <w:i/>
                <w:color w:val="FFCCCC"/>
                <w:sz w:val="72"/>
                <w:szCs w:val="72"/>
              </w:rPr>
              <w:lastRenderedPageBreak/>
              <w:t xml:space="preserve">GP / Medicines </w:t>
            </w:r>
            <w:r w:rsidR="00E535C6" w:rsidRPr="00E535C6">
              <w:rPr>
                <w:rFonts w:ascii="Calibri" w:hAnsi="Calibri" w:cs="Calibri"/>
                <w:i/>
                <w:color w:val="FFCCCC"/>
                <w:sz w:val="72"/>
                <w:szCs w:val="72"/>
              </w:rPr>
              <w:t>/ Pharmacy</w:t>
            </w:r>
            <w:bookmarkEnd w:id="27"/>
          </w:p>
        </w:tc>
        <w:tc>
          <w:tcPr>
            <w:tcW w:w="5977" w:type="dxa"/>
            <w:tcBorders>
              <w:top w:val="nil"/>
              <w:left w:val="thinThickSmallGap" w:sz="24" w:space="0" w:color="FFCCCC"/>
              <w:bottom w:val="nil"/>
              <w:right w:val="nil"/>
            </w:tcBorders>
            <w:shd w:val="clear" w:color="auto" w:fill="CC3399"/>
            <w:vAlign w:val="center"/>
          </w:tcPr>
          <w:p w:rsidR="00436329" w:rsidRPr="00DC2342" w:rsidRDefault="00436329" w:rsidP="00406DE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436329" w:rsidRPr="00DC2342" w:rsidTr="00E535C6">
        <w:trPr>
          <w:cantSplit/>
          <w:trHeight w:val="1928"/>
        </w:trPr>
        <w:tc>
          <w:tcPr>
            <w:tcW w:w="1184" w:type="dxa"/>
            <w:vMerge/>
            <w:tcBorders>
              <w:left w:val="single" w:sz="4" w:space="0" w:color="95B3D7" w:themeColor="accent1" w:themeTint="99"/>
              <w:right w:val="thinThickSmallGap" w:sz="24" w:space="0" w:color="FFCCCC"/>
            </w:tcBorders>
            <w:shd w:val="clear" w:color="auto" w:fill="CC3399"/>
          </w:tcPr>
          <w:p w:rsidR="00436329" w:rsidRPr="006F13A2" w:rsidRDefault="00436329"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3399"/>
            <w:vAlign w:val="center"/>
          </w:tcPr>
          <w:p w:rsidR="00436329" w:rsidRPr="00DC2342" w:rsidRDefault="00436329" w:rsidP="00E535C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E535C6">
              <w:rPr>
                <w:rFonts w:asciiTheme="minorHAnsi" w:hAnsiTheme="minorHAnsi" w:cstheme="minorHAnsi"/>
                <w:i/>
                <w:color w:val="FFFFFF" w:themeColor="background1"/>
                <w:sz w:val="28"/>
                <w:szCs w:val="28"/>
              </w:rPr>
              <w:t>GP Service</w:t>
            </w:r>
            <w:r>
              <w:rPr>
                <w:rFonts w:asciiTheme="minorHAnsi" w:hAnsiTheme="minorHAnsi" w:cstheme="minorHAnsi"/>
                <w:i/>
                <w:color w:val="FFFFFF" w:themeColor="background1"/>
                <w:sz w:val="28"/>
                <w:szCs w:val="28"/>
              </w:rPr>
              <w:t>s</w:t>
            </w:r>
          </w:p>
        </w:tc>
      </w:tr>
      <w:tr w:rsidR="00436329" w:rsidRPr="00DC2342" w:rsidTr="00E535C6">
        <w:trPr>
          <w:cantSplit/>
          <w:trHeight w:val="1928"/>
        </w:trPr>
        <w:tc>
          <w:tcPr>
            <w:tcW w:w="1184" w:type="dxa"/>
            <w:vMerge/>
            <w:tcBorders>
              <w:left w:val="single" w:sz="4" w:space="0" w:color="95B3D7" w:themeColor="accent1" w:themeTint="99"/>
              <w:right w:val="thinThickSmallGap" w:sz="24" w:space="0" w:color="FFCCCC"/>
            </w:tcBorders>
            <w:shd w:val="clear" w:color="auto" w:fill="CC3399"/>
          </w:tcPr>
          <w:p w:rsidR="00436329" w:rsidRPr="006F13A2" w:rsidRDefault="00436329"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3399"/>
            <w:vAlign w:val="center"/>
          </w:tcPr>
          <w:p w:rsidR="00436329" w:rsidRPr="00DC2342" w:rsidRDefault="00436329" w:rsidP="00E535C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E535C6">
              <w:rPr>
                <w:rFonts w:asciiTheme="minorHAnsi" w:hAnsiTheme="minorHAnsi" w:cstheme="minorHAnsi"/>
                <w:i/>
                <w:color w:val="FFFFFF" w:themeColor="background1"/>
                <w:sz w:val="28"/>
                <w:szCs w:val="28"/>
              </w:rPr>
              <w:t>Prescribed Medicines</w:t>
            </w:r>
          </w:p>
        </w:tc>
      </w:tr>
      <w:tr w:rsidR="00436329" w:rsidRPr="00DC2342" w:rsidTr="00E535C6">
        <w:trPr>
          <w:cantSplit/>
          <w:trHeight w:val="1928"/>
        </w:trPr>
        <w:tc>
          <w:tcPr>
            <w:tcW w:w="1184" w:type="dxa"/>
            <w:vMerge/>
            <w:tcBorders>
              <w:left w:val="single" w:sz="4" w:space="0" w:color="95B3D7" w:themeColor="accent1" w:themeTint="99"/>
              <w:right w:val="thinThickSmallGap" w:sz="24" w:space="0" w:color="FFCCCC"/>
            </w:tcBorders>
            <w:shd w:val="clear" w:color="auto" w:fill="CC3399"/>
          </w:tcPr>
          <w:p w:rsidR="00436329" w:rsidRPr="006F13A2" w:rsidRDefault="00436329"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3399"/>
            <w:vAlign w:val="center"/>
          </w:tcPr>
          <w:p w:rsidR="00436329" w:rsidRPr="00DC2342" w:rsidRDefault="00436329" w:rsidP="00E535C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E535C6">
              <w:rPr>
                <w:rFonts w:asciiTheme="minorHAnsi" w:hAnsiTheme="minorHAnsi" w:cstheme="minorHAnsi"/>
                <w:i/>
                <w:color w:val="FFFFFF" w:themeColor="background1"/>
                <w:sz w:val="28"/>
                <w:szCs w:val="28"/>
              </w:rPr>
              <w:t>Pharmacy</w:t>
            </w:r>
          </w:p>
        </w:tc>
      </w:tr>
      <w:tr w:rsidR="00436329" w:rsidRPr="00DC2342" w:rsidTr="00E535C6">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FFCCCC"/>
            </w:tcBorders>
            <w:shd w:val="clear" w:color="auto" w:fill="CC3399"/>
          </w:tcPr>
          <w:p w:rsidR="00436329" w:rsidRPr="006F13A2" w:rsidRDefault="00436329"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3399"/>
            <w:vAlign w:val="center"/>
          </w:tcPr>
          <w:p w:rsidR="00436329" w:rsidRPr="00DC2342" w:rsidRDefault="00436329" w:rsidP="00406DE6">
            <w:pPr>
              <w:pStyle w:val="Heading2"/>
              <w:spacing w:before="0" w:after="60"/>
              <w:outlineLvl w:val="1"/>
              <w:rPr>
                <w:rFonts w:asciiTheme="minorHAnsi" w:hAnsiTheme="minorHAnsi" w:cstheme="minorHAnsi"/>
                <w:i/>
                <w:color w:val="FFFFFF" w:themeColor="background1"/>
                <w:sz w:val="28"/>
                <w:szCs w:val="28"/>
              </w:rPr>
            </w:pPr>
          </w:p>
        </w:tc>
      </w:tr>
    </w:tbl>
    <w:p w:rsidR="00436329" w:rsidRDefault="00436329" w:rsidP="00436329">
      <w:pPr>
        <w:jc w:val="left"/>
        <w:rPr>
          <w:rFonts w:asciiTheme="minorHAnsi" w:hAnsiTheme="minorHAnsi" w:cstheme="minorHAnsi"/>
          <w:i/>
          <w:sz w:val="22"/>
          <w:szCs w:val="22"/>
        </w:rPr>
      </w:pPr>
    </w:p>
    <w:p w:rsidR="00436329" w:rsidRDefault="00436329" w:rsidP="00436329">
      <w:pPr>
        <w:jc w:val="left"/>
        <w:rPr>
          <w:rFonts w:asciiTheme="minorHAnsi" w:hAnsiTheme="minorHAnsi" w:cstheme="minorHAnsi"/>
          <w:i/>
          <w:sz w:val="22"/>
          <w:szCs w:val="22"/>
        </w:rPr>
      </w:pPr>
    </w:p>
    <w:p w:rsidR="00436329" w:rsidRPr="003A7E92" w:rsidRDefault="00436329" w:rsidP="00436329">
      <w:pPr>
        <w:jc w:val="left"/>
        <w:rPr>
          <w:rFonts w:asciiTheme="minorHAnsi" w:hAnsiTheme="minorHAnsi" w:cstheme="minorHAnsi"/>
          <w:i/>
          <w:sz w:val="22"/>
          <w:szCs w:val="22"/>
        </w:rPr>
      </w:pPr>
    </w:p>
    <w:tbl>
      <w:tblPr>
        <w:tblStyle w:val="TableGrid"/>
        <w:tblW w:w="0" w:type="auto"/>
        <w:tblLook w:val="04A0" w:firstRow="1" w:lastRow="0" w:firstColumn="1" w:lastColumn="0" w:noHBand="0" w:noVBand="1"/>
      </w:tblPr>
      <w:tblGrid>
        <w:gridCol w:w="1432"/>
        <w:gridCol w:w="1432"/>
        <w:gridCol w:w="1432"/>
        <w:gridCol w:w="1432"/>
        <w:gridCol w:w="1433"/>
      </w:tblGrid>
      <w:tr w:rsidR="00436329" w:rsidRPr="003A7E92" w:rsidTr="00E535C6">
        <w:trPr>
          <w:trHeight w:val="1361"/>
        </w:trPr>
        <w:tc>
          <w:tcPr>
            <w:tcW w:w="2864" w:type="dxa"/>
            <w:gridSpan w:val="2"/>
            <w:tcBorders>
              <w:top w:val="nil"/>
              <w:left w:val="nil"/>
              <w:bottom w:val="nil"/>
              <w:right w:val="nil"/>
            </w:tcBorders>
            <w:shd w:val="clear" w:color="auto" w:fill="CC3399"/>
            <w:vAlign w:val="center"/>
          </w:tcPr>
          <w:p w:rsidR="00436329" w:rsidRPr="00CC4D8F" w:rsidRDefault="008000DD" w:rsidP="008000DD">
            <w:pPr>
              <w:jc w:val="left"/>
              <w:rPr>
                <w:rFonts w:asciiTheme="minorHAnsi" w:hAnsiTheme="minorHAnsi" w:cstheme="minorHAnsi"/>
                <w:b/>
                <w:i/>
                <w:color w:val="FFFFFF" w:themeColor="background1"/>
                <w:sz w:val="24"/>
                <w:szCs w:val="24"/>
              </w:rPr>
            </w:pPr>
            <w:r w:rsidRPr="00CC4D8F">
              <w:rPr>
                <w:rFonts w:asciiTheme="minorHAnsi" w:hAnsiTheme="minorHAnsi" w:cstheme="minorHAnsi"/>
                <w:i/>
                <w:color w:val="FFFFFF" w:themeColor="background1"/>
                <w:sz w:val="24"/>
                <w:szCs w:val="24"/>
              </w:rPr>
              <w:t>69% of respondents had taken a medicine prescribed to them in the last twelve months</w:t>
            </w: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2865" w:type="dxa"/>
            <w:gridSpan w:val="2"/>
            <w:vMerge w:val="restart"/>
            <w:tcBorders>
              <w:top w:val="nil"/>
              <w:left w:val="nil"/>
              <w:bottom w:val="nil"/>
              <w:right w:val="nil"/>
            </w:tcBorders>
            <w:shd w:val="clear" w:color="auto" w:fill="800080"/>
            <w:vAlign w:val="center"/>
          </w:tcPr>
          <w:p w:rsidR="00436329" w:rsidRPr="00CC4D8F" w:rsidRDefault="008000DD" w:rsidP="00CC4D8F">
            <w:pPr>
              <w:jc w:val="left"/>
              <w:rPr>
                <w:rFonts w:asciiTheme="minorHAnsi" w:hAnsiTheme="minorHAnsi" w:cstheme="minorHAnsi"/>
                <w:b/>
                <w:i/>
                <w:color w:val="FFFFFF" w:themeColor="background1"/>
                <w:sz w:val="32"/>
                <w:szCs w:val="32"/>
              </w:rPr>
            </w:pPr>
            <w:r w:rsidRPr="00CC4D8F">
              <w:rPr>
                <w:rFonts w:asciiTheme="minorHAnsi" w:hAnsiTheme="minorHAnsi" w:cstheme="minorHAnsi"/>
                <w:i/>
                <w:color w:val="FFFFFF" w:themeColor="background1"/>
                <w:sz w:val="32"/>
                <w:szCs w:val="32"/>
              </w:rPr>
              <w:t>78%</w:t>
            </w:r>
            <w:r w:rsidR="000C7D44" w:rsidRPr="00CC4D8F">
              <w:rPr>
                <w:rFonts w:asciiTheme="minorHAnsi" w:hAnsiTheme="minorHAnsi" w:cstheme="minorHAnsi"/>
                <w:i/>
                <w:color w:val="FFFFFF" w:themeColor="background1"/>
                <w:sz w:val="32"/>
                <w:szCs w:val="32"/>
              </w:rPr>
              <w:t xml:space="preserve"> </w:t>
            </w:r>
            <w:r w:rsidR="00CC4D8F" w:rsidRPr="00CC4D8F">
              <w:rPr>
                <w:rFonts w:asciiTheme="minorHAnsi" w:hAnsiTheme="minorHAnsi" w:cstheme="minorHAnsi"/>
                <w:i/>
                <w:color w:val="FFFFFF" w:themeColor="background1"/>
                <w:sz w:val="32"/>
                <w:szCs w:val="32"/>
              </w:rPr>
              <w:t xml:space="preserve">of respondents </w:t>
            </w:r>
            <w:r w:rsidR="000C7D44" w:rsidRPr="00CC4D8F">
              <w:rPr>
                <w:rFonts w:asciiTheme="minorHAnsi" w:hAnsiTheme="minorHAnsi" w:cstheme="minorHAnsi"/>
                <w:i/>
                <w:color w:val="FFFFFF" w:themeColor="background1"/>
                <w:sz w:val="32"/>
                <w:szCs w:val="32"/>
              </w:rPr>
              <w:t xml:space="preserve">felt that the care received </w:t>
            </w:r>
            <w:r w:rsidR="00CC4D8F" w:rsidRPr="00CC4D8F">
              <w:rPr>
                <w:rFonts w:asciiTheme="minorHAnsi" w:hAnsiTheme="minorHAnsi" w:cstheme="minorHAnsi"/>
                <w:i/>
                <w:color w:val="FFFFFF" w:themeColor="background1"/>
                <w:sz w:val="32"/>
                <w:szCs w:val="32"/>
              </w:rPr>
              <w:t xml:space="preserve">from the out-of-hours </w:t>
            </w:r>
            <w:r w:rsidR="000C7D44" w:rsidRPr="00CC4D8F">
              <w:rPr>
                <w:rFonts w:asciiTheme="minorHAnsi" w:hAnsiTheme="minorHAnsi" w:cstheme="minorHAnsi"/>
                <w:i/>
                <w:color w:val="FFFFFF" w:themeColor="background1"/>
                <w:sz w:val="32"/>
                <w:szCs w:val="32"/>
              </w:rPr>
              <w:t>was good or very good</w:t>
            </w:r>
          </w:p>
        </w:tc>
      </w:tr>
      <w:tr w:rsidR="00436329" w:rsidRPr="003A7E92" w:rsidTr="00E535C6">
        <w:trPr>
          <w:trHeight w:val="1020"/>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2865" w:type="dxa"/>
            <w:gridSpan w:val="2"/>
            <w:vMerge/>
            <w:tcBorders>
              <w:top w:val="nil"/>
              <w:left w:val="nil"/>
              <w:bottom w:val="nil"/>
              <w:right w:val="nil"/>
            </w:tcBorders>
            <w:shd w:val="clear" w:color="auto" w:fill="800080"/>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406DE6">
        <w:trPr>
          <w:trHeight w:val="340"/>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E535C6">
        <w:trPr>
          <w:trHeight w:val="1587"/>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66FF"/>
            <w:vAlign w:val="center"/>
          </w:tcPr>
          <w:p w:rsidR="00436329" w:rsidRPr="00CC4D8F" w:rsidRDefault="000C7D44" w:rsidP="00CC4D8F">
            <w:pPr>
              <w:jc w:val="left"/>
              <w:rPr>
                <w:rFonts w:asciiTheme="minorHAnsi" w:hAnsiTheme="minorHAnsi" w:cstheme="minorHAnsi"/>
                <w:b/>
                <w:i/>
                <w:color w:val="FFFFFF" w:themeColor="background1"/>
                <w:sz w:val="28"/>
                <w:szCs w:val="28"/>
              </w:rPr>
            </w:pPr>
            <w:r w:rsidRPr="00CC4D8F">
              <w:rPr>
                <w:rFonts w:asciiTheme="minorHAnsi" w:hAnsiTheme="minorHAnsi" w:cstheme="minorHAnsi"/>
                <w:b/>
                <w:i/>
                <w:color w:val="FFFFFF" w:themeColor="background1"/>
                <w:sz w:val="28"/>
                <w:szCs w:val="28"/>
              </w:rPr>
              <w:t>89% of respondents who had visited their GP surgery within the last 6 months were satisfied with the care they received</w:t>
            </w:r>
          </w:p>
        </w:tc>
        <w:tc>
          <w:tcPr>
            <w:tcW w:w="1433"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406DE6">
        <w:trPr>
          <w:trHeight w:val="510"/>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E535C6">
        <w:trPr>
          <w:trHeight w:val="1361"/>
        </w:trPr>
        <w:tc>
          <w:tcPr>
            <w:tcW w:w="2864" w:type="dxa"/>
            <w:gridSpan w:val="2"/>
            <w:vMerge w:val="restart"/>
            <w:tcBorders>
              <w:top w:val="nil"/>
              <w:left w:val="nil"/>
              <w:bottom w:val="nil"/>
              <w:right w:val="nil"/>
            </w:tcBorders>
            <w:shd w:val="clear" w:color="auto" w:fill="FFCCCC"/>
            <w:vAlign w:val="center"/>
          </w:tcPr>
          <w:p w:rsidR="00436329" w:rsidRPr="00E535C6" w:rsidRDefault="008000DD" w:rsidP="008000DD">
            <w:pPr>
              <w:jc w:val="left"/>
              <w:rPr>
                <w:rFonts w:asciiTheme="minorHAnsi" w:hAnsiTheme="minorHAnsi" w:cstheme="minorHAnsi"/>
                <w:i/>
                <w:color w:val="660066"/>
                <w:sz w:val="28"/>
                <w:szCs w:val="28"/>
              </w:rPr>
            </w:pPr>
            <w:r>
              <w:rPr>
                <w:rFonts w:ascii="Calibri" w:hAnsi="Calibri" w:cs="Calibri"/>
                <w:i/>
                <w:color w:val="660066"/>
                <w:sz w:val="28"/>
                <w:szCs w:val="28"/>
              </w:rPr>
              <w:t>4</w:t>
            </w:r>
            <w:r w:rsidR="00436329" w:rsidRPr="00E535C6">
              <w:rPr>
                <w:rFonts w:ascii="Calibri" w:hAnsi="Calibri" w:cs="Calibri"/>
                <w:i/>
                <w:color w:val="660066"/>
                <w:sz w:val="28"/>
                <w:szCs w:val="28"/>
              </w:rPr>
              <w:t xml:space="preserve">5% of respondents </w:t>
            </w:r>
            <w:r w:rsidRPr="008000DD">
              <w:rPr>
                <w:rFonts w:ascii="Calibri" w:hAnsi="Calibri" w:cs="Calibri"/>
                <w:i/>
                <w:color w:val="660066"/>
                <w:sz w:val="28"/>
                <w:szCs w:val="28"/>
              </w:rPr>
              <w:t>had seen a GP or health care professional within the past 3 months</w:t>
            </w: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660066"/>
            <w:vAlign w:val="center"/>
          </w:tcPr>
          <w:p w:rsidR="00436329" w:rsidRPr="003A7E92" w:rsidRDefault="008000DD" w:rsidP="008000DD">
            <w:pPr>
              <w:jc w:val="left"/>
              <w:rPr>
                <w:rFonts w:asciiTheme="minorHAnsi" w:hAnsiTheme="minorHAnsi" w:cstheme="minorHAnsi"/>
                <w:b/>
                <w:i/>
                <w:color w:val="FFFFFF" w:themeColor="background1"/>
              </w:rPr>
            </w:pPr>
            <w:r>
              <w:rPr>
                <w:rFonts w:asciiTheme="minorHAnsi" w:hAnsiTheme="minorHAnsi" w:cstheme="minorHAnsi"/>
                <w:b/>
                <w:i/>
              </w:rPr>
              <w:t>9</w:t>
            </w:r>
            <w:r w:rsidR="00436329" w:rsidRPr="003A7E92">
              <w:rPr>
                <w:rFonts w:asciiTheme="minorHAnsi" w:hAnsiTheme="minorHAnsi" w:cstheme="minorHAnsi"/>
                <w:b/>
                <w:i/>
              </w:rPr>
              <w:t xml:space="preserve">8% of </w:t>
            </w:r>
            <w:r>
              <w:rPr>
                <w:rFonts w:asciiTheme="minorHAnsi" w:hAnsiTheme="minorHAnsi" w:cstheme="minorHAnsi"/>
                <w:b/>
                <w:i/>
              </w:rPr>
              <w:t>respondents</w:t>
            </w:r>
            <w:r w:rsidR="00436329" w:rsidRPr="003A7E92">
              <w:rPr>
                <w:rFonts w:asciiTheme="minorHAnsi" w:hAnsiTheme="minorHAnsi" w:cstheme="minorHAnsi"/>
                <w:b/>
                <w:i/>
              </w:rPr>
              <w:t xml:space="preserve"> were </w:t>
            </w:r>
            <w:r>
              <w:rPr>
                <w:rFonts w:asciiTheme="minorHAnsi" w:hAnsiTheme="minorHAnsi" w:cstheme="minorHAnsi"/>
                <w:b/>
                <w:i/>
              </w:rPr>
              <w:t>satisfied with their community pharmacy</w:t>
            </w:r>
          </w:p>
        </w:tc>
        <w:tc>
          <w:tcPr>
            <w:tcW w:w="1433"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E535C6">
        <w:trPr>
          <w:trHeight w:val="567"/>
        </w:trPr>
        <w:tc>
          <w:tcPr>
            <w:tcW w:w="2864" w:type="dxa"/>
            <w:gridSpan w:val="2"/>
            <w:vMerge/>
            <w:tcBorders>
              <w:top w:val="nil"/>
              <w:left w:val="nil"/>
              <w:bottom w:val="nil"/>
              <w:right w:val="nil"/>
            </w:tcBorders>
            <w:shd w:val="clear" w:color="auto" w:fill="FFCCCC"/>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406DE6">
        <w:trPr>
          <w:trHeight w:val="283"/>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r>
      <w:tr w:rsidR="00436329" w:rsidRPr="003A7E92" w:rsidTr="00E535C6">
        <w:trPr>
          <w:trHeight w:val="1701"/>
        </w:trPr>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436329" w:rsidRPr="003A7E92" w:rsidRDefault="00436329" w:rsidP="00406DE6">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99CC"/>
            <w:vAlign w:val="center"/>
          </w:tcPr>
          <w:p w:rsidR="00436329" w:rsidRPr="008000DD" w:rsidRDefault="000C7D44" w:rsidP="000C7D44">
            <w:pPr>
              <w:jc w:val="left"/>
              <w:rPr>
                <w:rFonts w:asciiTheme="minorHAnsi" w:hAnsiTheme="minorHAnsi" w:cstheme="minorHAnsi"/>
                <w:b/>
                <w:i/>
                <w:color w:val="FFFFFF" w:themeColor="background1"/>
                <w:sz w:val="26"/>
                <w:szCs w:val="26"/>
              </w:rPr>
            </w:pPr>
            <w:r w:rsidRPr="008000DD">
              <w:rPr>
                <w:rFonts w:asciiTheme="minorHAnsi" w:hAnsiTheme="minorHAnsi" w:cstheme="minorHAnsi"/>
                <w:b/>
                <w:i/>
                <w:color w:val="FFFFFF" w:themeColor="background1"/>
                <w:sz w:val="26"/>
                <w:szCs w:val="26"/>
              </w:rPr>
              <w:t>75% of those seeking an appointment with their GP within 2 days were able to get one within that time period</w:t>
            </w:r>
          </w:p>
        </w:tc>
      </w:tr>
    </w:tbl>
    <w:p w:rsidR="00436329" w:rsidRDefault="00436329" w:rsidP="00436329">
      <w:pPr>
        <w:tabs>
          <w:tab w:val="left" w:pos="-180"/>
        </w:tabs>
        <w:suppressAutoHyphens/>
        <w:spacing w:before="240" w:after="120"/>
        <w:rPr>
          <w:rFonts w:asciiTheme="minorHAnsi" w:hAnsiTheme="minorHAnsi" w:cstheme="minorHAnsi"/>
          <w:b/>
          <w:color w:val="4F81BD" w:themeColor="accent1"/>
          <w:sz w:val="24"/>
          <w:szCs w:val="24"/>
        </w:rPr>
      </w:pPr>
    </w:p>
    <w:p w:rsidR="0067026A" w:rsidRDefault="0067026A" w:rsidP="00F01420">
      <w:pPr>
        <w:pStyle w:val="Heading2"/>
        <w:spacing w:before="0" w:after="60"/>
        <w:rPr>
          <w:rFonts w:asciiTheme="minorHAnsi" w:hAnsiTheme="minorHAnsi" w:cstheme="minorHAnsi"/>
          <w:sz w:val="24"/>
          <w:szCs w:val="24"/>
        </w:rPr>
        <w:sectPr w:rsidR="0067026A" w:rsidSect="007033B0">
          <w:pgSz w:w="16838" w:h="11906" w:orient="landscape"/>
          <w:pgMar w:top="737" w:right="1247" w:bottom="737" w:left="1247" w:header="454" w:footer="567" w:gutter="0"/>
          <w:cols w:num="2" w:space="454"/>
          <w:docGrid w:linePitch="360"/>
        </w:sectPr>
      </w:pPr>
    </w:p>
    <w:p w:rsidR="00F01420" w:rsidRPr="00822D64" w:rsidRDefault="00F01420" w:rsidP="00E535C6">
      <w:pPr>
        <w:pStyle w:val="Heading2"/>
        <w:spacing w:before="0" w:after="120"/>
        <w:rPr>
          <w:rFonts w:asciiTheme="minorHAnsi" w:hAnsiTheme="minorHAnsi" w:cstheme="minorHAnsi"/>
          <w:color w:val="CC3399"/>
          <w:sz w:val="24"/>
          <w:szCs w:val="24"/>
        </w:rPr>
      </w:pPr>
      <w:r w:rsidRPr="00822D64">
        <w:rPr>
          <w:rFonts w:asciiTheme="minorHAnsi" w:hAnsiTheme="minorHAnsi" w:cstheme="minorHAnsi"/>
          <w:color w:val="CC3399"/>
          <w:sz w:val="24"/>
          <w:szCs w:val="24"/>
        </w:rPr>
        <w:lastRenderedPageBreak/>
        <w:t>GP Services</w:t>
      </w:r>
      <w:bookmarkEnd w:id="26"/>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w:t>
      </w:r>
      <w:r w:rsidRPr="009B1C0F">
        <w:rPr>
          <w:rFonts w:ascii="Calibri" w:hAnsi="Calibri" w:cs="Calibri"/>
          <w:sz w:val="22"/>
          <w:szCs w:val="22"/>
        </w:rPr>
        <w:t xml:space="preserve">General Practitioners </w:t>
      </w:r>
      <w:r>
        <w:rPr>
          <w:rFonts w:ascii="Calibri" w:hAnsi="Calibri" w:cs="Calibri"/>
          <w:sz w:val="22"/>
          <w:szCs w:val="22"/>
        </w:rPr>
        <w:t>(</w:t>
      </w:r>
      <w:r>
        <w:rPr>
          <w:rFonts w:asciiTheme="minorHAnsi" w:hAnsiTheme="minorHAnsi" w:cstheme="minorHAnsi"/>
          <w:sz w:val="22"/>
          <w:szCs w:val="22"/>
        </w:rPr>
        <w:t xml:space="preserve">GP) section of the health survey examines respondents’ experiences in accessing and using their local GP practice or health centre as well as </w:t>
      </w:r>
      <w:r w:rsidRPr="009B1C0F">
        <w:rPr>
          <w:rFonts w:ascii="Calibri" w:hAnsi="Calibri" w:cs="Calibri"/>
          <w:sz w:val="22"/>
          <w:szCs w:val="22"/>
        </w:rPr>
        <w:t>out-of-hours services</w:t>
      </w:r>
      <w:r>
        <w:rPr>
          <w:rFonts w:asciiTheme="minorHAnsi" w:hAnsiTheme="minorHAnsi" w:cstheme="minorHAnsi"/>
          <w:sz w:val="22"/>
          <w:szCs w:val="22"/>
        </w:rPr>
        <w:t>.</w:t>
      </w:r>
    </w:p>
    <w:p w:rsidR="00F01420" w:rsidRPr="00822D64" w:rsidRDefault="00F01420" w:rsidP="00E535C6">
      <w:pPr>
        <w:tabs>
          <w:tab w:val="left" w:pos="-180"/>
        </w:tabs>
        <w:suppressAutoHyphens/>
        <w:spacing w:before="240"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Access to GP/Health Centre</w:t>
      </w:r>
    </w:p>
    <w:p w:rsidR="00F01420" w:rsidRPr="002A11CD" w:rsidRDefault="00F01420" w:rsidP="00E535C6">
      <w:pPr>
        <w:tabs>
          <w:tab w:val="center" w:pos="4075"/>
        </w:tabs>
        <w:autoSpaceDE w:val="0"/>
        <w:autoSpaceDN w:val="0"/>
        <w:adjustRightInd w:val="0"/>
        <w:spacing w:after="240" w:line="288" w:lineRule="auto"/>
        <w:rPr>
          <w:rFonts w:asciiTheme="minorHAnsi" w:hAnsiTheme="minorHAnsi" w:cstheme="minorHAnsi"/>
          <w:sz w:val="22"/>
          <w:szCs w:val="22"/>
        </w:rPr>
      </w:pPr>
      <w:r w:rsidRPr="002A11CD">
        <w:rPr>
          <w:rFonts w:asciiTheme="minorHAnsi" w:hAnsiTheme="minorHAnsi" w:cstheme="minorHAnsi"/>
          <w:sz w:val="22"/>
          <w:szCs w:val="22"/>
        </w:rPr>
        <w:t>Within the last 6 months</w:t>
      </w:r>
      <w:r>
        <w:rPr>
          <w:rFonts w:asciiTheme="minorHAnsi" w:hAnsiTheme="minorHAnsi" w:cstheme="minorHAnsi"/>
          <w:sz w:val="22"/>
          <w:szCs w:val="22"/>
        </w:rPr>
        <w:t>,</w:t>
      </w:r>
      <w:r w:rsidRPr="002A11CD">
        <w:rPr>
          <w:rFonts w:asciiTheme="minorHAnsi" w:hAnsiTheme="minorHAnsi" w:cstheme="minorHAnsi"/>
          <w:sz w:val="22"/>
          <w:szCs w:val="22"/>
        </w:rPr>
        <w:t xml:space="preserve"> over half of all respondents </w:t>
      </w:r>
      <w:r>
        <w:rPr>
          <w:rFonts w:asciiTheme="minorHAnsi" w:hAnsiTheme="minorHAnsi" w:cstheme="minorHAnsi"/>
          <w:sz w:val="22"/>
          <w:szCs w:val="22"/>
        </w:rPr>
        <w:t>(51%) had found it very easy or fairly easy</w:t>
      </w:r>
      <w:r w:rsidRPr="002A11CD">
        <w:rPr>
          <w:rFonts w:asciiTheme="minorHAnsi" w:hAnsiTheme="minorHAnsi" w:cstheme="minorHAnsi"/>
          <w:sz w:val="22"/>
          <w:szCs w:val="22"/>
        </w:rPr>
        <w:t xml:space="preserve"> to get through to their GP surgery/Health centre on the telephone</w:t>
      </w:r>
      <w:r>
        <w:rPr>
          <w:rFonts w:asciiTheme="minorHAnsi" w:hAnsiTheme="minorHAnsi" w:cstheme="minorHAnsi"/>
          <w:sz w:val="22"/>
          <w:szCs w:val="22"/>
        </w:rPr>
        <w:t>, although almost a quarter did not know / had not tried</w:t>
      </w:r>
      <w:r w:rsidRPr="002A11CD">
        <w:rPr>
          <w:rFonts w:asciiTheme="minorHAnsi" w:hAnsiTheme="minorHAnsi" w:cstheme="minorHAnsi"/>
          <w:sz w:val="22"/>
          <w:szCs w:val="22"/>
        </w:rPr>
        <w:t xml:space="preserve">. </w:t>
      </w:r>
    </w:p>
    <w:p w:rsidR="004A363D" w:rsidRDefault="00F01420" w:rsidP="00E535C6">
      <w:pPr>
        <w:tabs>
          <w:tab w:val="center" w:pos="4075"/>
        </w:tabs>
        <w:autoSpaceDE w:val="0"/>
        <w:autoSpaceDN w:val="0"/>
        <w:adjustRightInd w:val="0"/>
        <w:spacing w:before="240" w:after="120" w:line="288" w:lineRule="auto"/>
        <w:rPr>
          <w:rFonts w:asciiTheme="minorHAnsi" w:hAnsiTheme="minorHAnsi" w:cstheme="minorHAnsi"/>
          <w:sz w:val="22"/>
          <w:szCs w:val="22"/>
        </w:rPr>
      </w:pPr>
      <w:r w:rsidRPr="00090158">
        <w:rPr>
          <w:rFonts w:asciiTheme="minorHAnsi" w:hAnsiTheme="minorHAnsi" w:cstheme="minorHAnsi"/>
          <w:noProof/>
          <w:sz w:val="22"/>
          <w:szCs w:val="22"/>
          <w:lang w:val="en-IE" w:eastAsia="en-IE"/>
        </w:rPr>
        <w:drawing>
          <wp:inline distT="0" distB="0" distL="0" distR="0">
            <wp:extent cx="4324350" cy="2340000"/>
            <wp:effectExtent l="19050" t="0" r="0" b="0"/>
            <wp:docPr id="8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01420" w:rsidRDefault="00F01420" w:rsidP="00E535C6">
      <w:pPr>
        <w:tabs>
          <w:tab w:val="center" w:pos="4075"/>
        </w:tabs>
        <w:autoSpaceDE w:val="0"/>
        <w:autoSpaceDN w:val="0"/>
        <w:adjustRightInd w:val="0"/>
        <w:spacing w:before="240" w:after="120" w:line="288" w:lineRule="auto"/>
        <w:rPr>
          <w:rFonts w:asciiTheme="minorHAnsi" w:hAnsiTheme="minorHAnsi" w:cstheme="minorHAnsi"/>
          <w:sz w:val="22"/>
          <w:szCs w:val="22"/>
        </w:rPr>
      </w:pPr>
      <w:r>
        <w:rPr>
          <w:rFonts w:asciiTheme="minorHAnsi" w:hAnsiTheme="minorHAnsi" w:cstheme="minorHAnsi"/>
          <w:sz w:val="22"/>
          <w:szCs w:val="22"/>
        </w:rPr>
        <w:t>Within the two weeks prior to the survey nearly 1 in 5 respondents (18%) had talked to their GP either in person or by telephone and 10% had seen a practice nurse.  Of those who had spoken with their GP, 81% had spoken to them once, while 4% had done so three or more times in the last two weeks.</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Two-fifths of respondents (42%) had tried to make an appointment for eithe</w:t>
      </w:r>
      <w:r w:rsidR="00391573">
        <w:rPr>
          <w:rFonts w:asciiTheme="minorHAnsi" w:hAnsiTheme="minorHAnsi" w:cstheme="minorHAnsi"/>
          <w:sz w:val="22"/>
          <w:szCs w:val="22"/>
        </w:rPr>
        <w:t>r the same day or within 2 days.</w:t>
      </w:r>
      <w:r>
        <w:rPr>
          <w:rFonts w:asciiTheme="minorHAnsi" w:hAnsiTheme="minorHAnsi" w:cstheme="minorHAnsi"/>
          <w:sz w:val="22"/>
          <w:szCs w:val="22"/>
        </w:rPr>
        <w:t xml:space="preserve"> Three-quarters of those seeking an appointment within 2 days (75%) were able to get one within that time period.  The main reason given by respondents who could not get an </w:t>
      </w:r>
      <w:r>
        <w:rPr>
          <w:rFonts w:asciiTheme="minorHAnsi" w:hAnsiTheme="minorHAnsi" w:cstheme="minorHAnsi"/>
          <w:sz w:val="22"/>
          <w:szCs w:val="22"/>
        </w:rPr>
        <w:lastRenderedPageBreak/>
        <w:t xml:space="preserve">appointment within two days was that there were no appointments available (86%).  Three-fifths of these respondents (58%) were however able to get an appointment for a later date, while 10% had a consultation over the phone and 15% contacted the surgery at another time.  </w:t>
      </w:r>
    </w:p>
    <w:p w:rsidR="00F01420" w:rsidRPr="006D5AA1"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Two-fifths of respondents (41%) had t</w:t>
      </w:r>
      <w:r w:rsidRPr="00914504">
        <w:rPr>
          <w:rFonts w:asciiTheme="minorHAnsi" w:hAnsiTheme="minorHAnsi" w:cstheme="minorHAnsi"/>
          <w:sz w:val="22"/>
          <w:szCs w:val="22"/>
        </w:rPr>
        <w:t xml:space="preserve">ried to book an appointment with </w:t>
      </w:r>
      <w:r>
        <w:rPr>
          <w:rFonts w:asciiTheme="minorHAnsi" w:hAnsiTheme="minorHAnsi" w:cstheme="minorHAnsi"/>
          <w:sz w:val="22"/>
          <w:szCs w:val="22"/>
        </w:rPr>
        <w:t xml:space="preserve">their </w:t>
      </w:r>
      <w:r w:rsidRPr="00914504">
        <w:rPr>
          <w:rFonts w:asciiTheme="minorHAnsi" w:hAnsiTheme="minorHAnsi" w:cstheme="minorHAnsi"/>
          <w:sz w:val="22"/>
          <w:szCs w:val="22"/>
        </w:rPr>
        <w:t>GP more than 2 full days in advance</w:t>
      </w:r>
      <w:r>
        <w:rPr>
          <w:rFonts w:asciiTheme="minorHAnsi" w:hAnsiTheme="minorHAnsi" w:cstheme="minorHAnsi"/>
          <w:sz w:val="22"/>
          <w:szCs w:val="22"/>
        </w:rPr>
        <w:t xml:space="preserve"> with three-quarters (76%) able to obtain one.</w:t>
      </w:r>
    </w:p>
    <w:p w:rsidR="00F01420" w:rsidRPr="00822D64" w:rsidRDefault="00F01420" w:rsidP="00E535C6">
      <w:pPr>
        <w:tabs>
          <w:tab w:val="left" w:pos="-180"/>
        </w:tabs>
        <w:suppressAutoHyphens/>
        <w:spacing w:before="240"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Most recent visit to GP</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Nearly half of respondents (45%) had seen a GP or health care professional within the past 3 months, while over one-third (36%) had not seen a GP or health care professional for more than six months.  </w:t>
      </w:r>
    </w:p>
    <w:p w:rsidR="00822D64" w:rsidRDefault="00F01420" w:rsidP="00F01420">
      <w:pPr>
        <w:tabs>
          <w:tab w:val="left" w:pos="-180"/>
        </w:tabs>
        <w:suppressAutoHyphens/>
        <w:spacing w:before="120" w:after="60"/>
        <w:rPr>
          <w:rFonts w:asciiTheme="minorHAnsi" w:hAnsiTheme="minorHAnsi" w:cstheme="minorHAnsi"/>
          <w:b/>
          <w:color w:val="4F81BD" w:themeColor="accent1"/>
          <w:sz w:val="22"/>
          <w:szCs w:val="22"/>
        </w:rPr>
      </w:pPr>
      <w:r w:rsidRPr="00EF13E6">
        <w:rPr>
          <w:rFonts w:asciiTheme="minorHAnsi" w:hAnsiTheme="minorHAnsi" w:cstheme="minorHAnsi"/>
          <w:noProof/>
          <w:sz w:val="22"/>
          <w:szCs w:val="22"/>
          <w:lang w:val="en-IE" w:eastAsia="en-IE"/>
        </w:rPr>
        <w:drawing>
          <wp:inline distT="0" distB="0" distL="0" distR="0">
            <wp:extent cx="4324350" cy="2340000"/>
            <wp:effectExtent l="19050" t="0" r="0" b="0"/>
            <wp:docPr id="8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01420" w:rsidRPr="00822D64" w:rsidRDefault="00F01420" w:rsidP="00E535C6">
      <w:pPr>
        <w:tabs>
          <w:tab w:val="left" w:pos="-180"/>
        </w:tabs>
        <w:suppressAutoHyphens/>
        <w:spacing w:before="240"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Patient Experience with GP</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Overall, 59% of respondents who had visited their GP surgery or Health centre within the last 6 months were ‘very satisfied’ with the care they received, while a further 30% were fairly satisfied. </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majority of respondents (94%) had confidence and trust in the doctor they saw.  Similarly most felt that their doctor gave them enough time (90%), </w:t>
      </w:r>
      <w:r>
        <w:rPr>
          <w:rFonts w:asciiTheme="minorHAnsi" w:hAnsiTheme="minorHAnsi" w:cstheme="minorHAnsi"/>
          <w:sz w:val="22"/>
          <w:szCs w:val="22"/>
        </w:rPr>
        <w:lastRenderedPageBreak/>
        <w:t xml:space="preserve">asked them about their symptoms (90%), listened to them (90%), treated them with care and concern (89%) and took their problems seriously (89%).  </w:t>
      </w:r>
    </w:p>
    <w:p w:rsidR="00F01420" w:rsidRPr="00822D64" w:rsidRDefault="00F01420" w:rsidP="00F01420">
      <w:pPr>
        <w:pStyle w:val="Heading2"/>
        <w:spacing w:before="0" w:after="60"/>
        <w:rPr>
          <w:rFonts w:asciiTheme="minorHAnsi" w:hAnsiTheme="minorHAnsi" w:cstheme="minorHAnsi"/>
          <w:color w:val="CC3399"/>
          <w:sz w:val="24"/>
          <w:szCs w:val="24"/>
        </w:rPr>
      </w:pPr>
      <w:bookmarkStart w:id="28" w:name="_Ref381945930"/>
      <w:r w:rsidRPr="00822D64">
        <w:rPr>
          <w:rFonts w:asciiTheme="minorHAnsi" w:hAnsiTheme="minorHAnsi" w:cstheme="minorHAnsi"/>
          <w:color w:val="CC3399"/>
          <w:sz w:val="24"/>
          <w:szCs w:val="24"/>
        </w:rPr>
        <w:t>Out-of-hours GP Service</w:t>
      </w:r>
      <w:bookmarkEnd w:id="28"/>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Three-quarters of respondents (76%) stated that they knew how to contact the out-of-hours GP service.  One-fifth had tried to call the out-of-hours GP service in the last six months with females (25%) almost twice as likely to have done so than males (13%).  The majority of those who tried to call (92%) found it easy to contact the out-of-hours service.</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Three-fifths of respondents who contacted out-of-hours were prescribed medicine and the majority of them (91%) found it easy to obtain their medicine.</w:t>
      </w:r>
    </w:p>
    <w:p w:rsidR="00F01420" w:rsidRPr="0079123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Three-quarters of respondents (75%) felt that they had received care quickly from the out-of-hours.  A similar proportion (78%) felt that the care received was good or very good.</w:t>
      </w:r>
    </w:p>
    <w:p w:rsidR="00F01420" w:rsidRPr="00822D64" w:rsidRDefault="00F01420" w:rsidP="004A363D">
      <w:pPr>
        <w:pStyle w:val="Heading2"/>
        <w:spacing w:before="480" w:after="120"/>
        <w:rPr>
          <w:rFonts w:asciiTheme="minorHAnsi" w:hAnsiTheme="minorHAnsi" w:cstheme="minorHAnsi"/>
          <w:color w:val="CC3399"/>
          <w:sz w:val="24"/>
          <w:szCs w:val="24"/>
        </w:rPr>
      </w:pPr>
      <w:bookmarkStart w:id="29" w:name="_Ref381945938"/>
      <w:r w:rsidRPr="00822D64">
        <w:rPr>
          <w:rFonts w:asciiTheme="minorHAnsi" w:hAnsiTheme="minorHAnsi" w:cstheme="minorHAnsi"/>
          <w:color w:val="CC3399"/>
          <w:sz w:val="24"/>
          <w:szCs w:val="24"/>
        </w:rPr>
        <w:t>Medicines and Pharmacy Management</w:t>
      </w:r>
      <w:bookmarkEnd w:id="29"/>
    </w:p>
    <w:p w:rsidR="00F01420" w:rsidRPr="00822D64" w:rsidRDefault="00F01420" w:rsidP="00E535C6">
      <w:pPr>
        <w:tabs>
          <w:tab w:val="left" w:pos="-180"/>
        </w:tabs>
        <w:suppressAutoHyphens/>
        <w:spacing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Background</w:t>
      </w:r>
    </w:p>
    <w:p w:rsidR="00F01420" w:rsidRPr="00184724"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sidRPr="00184724">
        <w:rPr>
          <w:rFonts w:asciiTheme="minorHAnsi" w:hAnsiTheme="minorHAnsi" w:cstheme="minorHAnsi"/>
          <w:sz w:val="22"/>
          <w:szCs w:val="22"/>
        </w:rPr>
        <w:t>The Department aims to provide safe and effective medicines management in order to optimise the benefits that treatment offers and attain the best outcome for each patient</w:t>
      </w:r>
      <w:r>
        <w:rPr>
          <w:rFonts w:asciiTheme="minorHAnsi" w:hAnsiTheme="minorHAnsi" w:cstheme="minorHAnsi"/>
          <w:sz w:val="22"/>
          <w:szCs w:val="22"/>
        </w:rPr>
        <w:t xml:space="preserve"> –</w:t>
      </w:r>
      <w:r w:rsidRPr="00822D64">
        <w:rPr>
          <w:rFonts w:asciiTheme="minorHAnsi" w:hAnsiTheme="minorHAnsi" w:cstheme="minorHAnsi"/>
          <w:sz w:val="22"/>
          <w:szCs w:val="22"/>
        </w:rPr>
        <w:t xml:space="preserve"> ‘The right medicine for the right patient at the right time’</w:t>
      </w:r>
      <w:r w:rsidRPr="00184724">
        <w:rPr>
          <w:rFonts w:asciiTheme="minorHAnsi" w:hAnsiTheme="minorHAnsi" w:cstheme="minorHAnsi"/>
          <w:sz w:val="22"/>
          <w:szCs w:val="22"/>
        </w:rPr>
        <w:t>.  This is achieved by improving quality and cost-effectiveness, supporting the delivery of safe medication practice and providing equitable access to medicines.</w:t>
      </w:r>
    </w:p>
    <w:p w:rsidR="00F01420" w:rsidRPr="00184724"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sidRPr="00184724">
        <w:rPr>
          <w:rFonts w:asciiTheme="minorHAnsi" w:hAnsiTheme="minorHAnsi" w:cstheme="minorHAnsi"/>
          <w:sz w:val="22"/>
          <w:szCs w:val="22"/>
        </w:rPr>
        <w:t xml:space="preserve">As part of this, community pharmacists are responsible for the dispensing of prescribed medicines, sale of other over the counter medicines for self-medication and the provision of information and advice on medicines.  In addition, community pharmacists also provide a range of medicines management and public health services.  This includes: management of </w:t>
      </w:r>
      <w:r w:rsidRPr="00184724">
        <w:rPr>
          <w:rFonts w:asciiTheme="minorHAnsi" w:hAnsiTheme="minorHAnsi" w:cstheme="minorHAnsi"/>
          <w:sz w:val="22"/>
          <w:szCs w:val="22"/>
        </w:rPr>
        <w:lastRenderedPageBreak/>
        <w:t>medicines, repeat dispensing, information on minor ailments and specialist smoking cessation services.</w:t>
      </w:r>
    </w:p>
    <w:p w:rsidR="00F01420" w:rsidRPr="00E535C6" w:rsidRDefault="00F01420" w:rsidP="00E535C6">
      <w:pPr>
        <w:tabs>
          <w:tab w:val="left" w:pos="-180"/>
        </w:tabs>
        <w:suppressAutoHyphens/>
        <w:spacing w:before="240"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Prescribed Medicines</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Over two-thirds of respondents (69%) had taken a medicine prescribed to them in the last twelve months.  The likelihood of this increased with age from 55% of those aged 16-24 to 92% of those aged 75 and over.</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Of those who were prescribed a medicine, the majority stated that their healthcare professional had clearly explained their disease or condition to them (89%), how the medicine would help them (86%)</w:t>
      </w:r>
      <w:r w:rsidRPr="00383EB1">
        <w:rPr>
          <w:rFonts w:asciiTheme="minorHAnsi" w:hAnsiTheme="minorHAnsi" w:cstheme="minorHAnsi"/>
          <w:sz w:val="22"/>
          <w:szCs w:val="22"/>
        </w:rPr>
        <w:t xml:space="preserve"> </w:t>
      </w:r>
      <w:r>
        <w:rPr>
          <w:rFonts w:asciiTheme="minorHAnsi" w:hAnsiTheme="minorHAnsi" w:cstheme="minorHAnsi"/>
          <w:sz w:val="22"/>
          <w:szCs w:val="22"/>
        </w:rPr>
        <w:t>and how to take their medication in a way they could understand (90%).  Just over half of respondents (55%) were told of possible side effects to look out for and two-fifths (41%) were asked if they had any worries about taking their prescribed medicine.  A small proportion of respondents (14%) decided not to take the medication which was prescribed, with almost half of these stating that this was due to actual or possible side effects caused by the medicine.</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Three-fifths of respondents (62%) received their medicines from the pharmacist, while a further third received them from a dispenser or pharmacy staff and 5% used a delivery service.  One-third of respondents (34%) said that the person who gave them the medicine asked them if they had any questions about it.</w:t>
      </w:r>
    </w:p>
    <w:p w:rsidR="00F01420" w:rsidRPr="00822D64" w:rsidRDefault="00F01420" w:rsidP="00E535C6">
      <w:pPr>
        <w:tabs>
          <w:tab w:val="left" w:pos="-180"/>
        </w:tabs>
        <w:suppressAutoHyphens/>
        <w:spacing w:before="240" w:after="12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Those who were taking prescribed Medicines for a year or more</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Two-thirds of those who had been prescribed medicine had been taking a medicine for a year or more.  Of these, almost three-fifths (57%) had a medicine review in the last year.  During their review nearly two-thirds of these respondents (63%) were asked if they had any worries about taking their medicine.  A third of these respondents were asked if they had missed any doses recently (33%), cut down on their medication (31%) or if they had stopped taking their medication (32%).</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A third of respondents had been advised to keep a list of all medicines they took (35%).  Over four-fifths of those advised did keep a list (83%), with almost all (99%) including their prescribed medicines on their list.  A third of respondents (30%) also added medicines they had bought to their list and a quarter (24%) kept notes on any allergies or harmful effects they had from taking medicines.</w:t>
      </w:r>
    </w:p>
    <w:p w:rsidR="00F01420" w:rsidRPr="00822D64" w:rsidRDefault="00F01420" w:rsidP="004A363D">
      <w:pPr>
        <w:pStyle w:val="Heading2"/>
        <w:spacing w:before="240" w:after="60"/>
        <w:rPr>
          <w:rFonts w:asciiTheme="minorHAnsi" w:hAnsiTheme="minorHAnsi" w:cstheme="minorHAnsi"/>
          <w:color w:val="CC3399"/>
          <w:sz w:val="24"/>
          <w:szCs w:val="24"/>
        </w:rPr>
      </w:pPr>
      <w:bookmarkStart w:id="30" w:name="_Ref381945944"/>
      <w:r w:rsidRPr="00822D64">
        <w:rPr>
          <w:rFonts w:asciiTheme="minorHAnsi" w:hAnsiTheme="minorHAnsi" w:cstheme="minorHAnsi"/>
          <w:color w:val="CC3399"/>
          <w:sz w:val="24"/>
          <w:szCs w:val="24"/>
        </w:rPr>
        <w:t>Visits to Community Pharmacies</w:t>
      </w:r>
      <w:bookmarkEnd w:id="30"/>
    </w:p>
    <w:p w:rsidR="00F01420" w:rsidRPr="00184724"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sidRPr="00184724">
        <w:rPr>
          <w:rFonts w:asciiTheme="minorHAnsi" w:hAnsiTheme="minorHAnsi" w:cstheme="minorHAnsi"/>
          <w:sz w:val="22"/>
          <w:szCs w:val="22"/>
        </w:rPr>
        <w:t xml:space="preserve">Around three-quarters of respondents (74%) had visited a community pharmacy within the past twelve months.  </w:t>
      </w:r>
      <w:r>
        <w:rPr>
          <w:rFonts w:asciiTheme="minorHAnsi" w:hAnsiTheme="minorHAnsi" w:cstheme="minorHAnsi"/>
          <w:sz w:val="22"/>
          <w:szCs w:val="22"/>
        </w:rPr>
        <w:t>Of these, t</w:t>
      </w:r>
      <w:r w:rsidRPr="00184724">
        <w:rPr>
          <w:rFonts w:asciiTheme="minorHAnsi" w:hAnsiTheme="minorHAnsi" w:cstheme="minorHAnsi"/>
          <w:sz w:val="22"/>
          <w:szCs w:val="22"/>
        </w:rPr>
        <w:t>he main reason for attendance was to have a prescription dispensed (</w:t>
      </w:r>
      <w:r>
        <w:rPr>
          <w:rFonts w:asciiTheme="minorHAnsi" w:hAnsiTheme="minorHAnsi" w:cstheme="minorHAnsi"/>
          <w:sz w:val="22"/>
          <w:szCs w:val="22"/>
        </w:rPr>
        <w:t>84</w:t>
      </w:r>
      <w:r w:rsidRPr="00184724">
        <w:rPr>
          <w:rFonts w:asciiTheme="minorHAnsi" w:hAnsiTheme="minorHAnsi" w:cstheme="minorHAnsi"/>
          <w:sz w:val="22"/>
          <w:szCs w:val="22"/>
        </w:rPr>
        <w:t>%)</w:t>
      </w:r>
      <w:r>
        <w:rPr>
          <w:rFonts w:asciiTheme="minorHAnsi" w:hAnsiTheme="minorHAnsi" w:cstheme="minorHAnsi"/>
          <w:sz w:val="22"/>
          <w:szCs w:val="22"/>
        </w:rPr>
        <w:t>,</w:t>
      </w:r>
      <w:r w:rsidRPr="00184724">
        <w:rPr>
          <w:rFonts w:asciiTheme="minorHAnsi" w:hAnsiTheme="minorHAnsi" w:cstheme="minorHAnsi"/>
          <w:sz w:val="22"/>
          <w:szCs w:val="22"/>
        </w:rPr>
        <w:t xml:space="preserve"> while </w:t>
      </w:r>
      <w:r>
        <w:rPr>
          <w:rFonts w:asciiTheme="minorHAnsi" w:hAnsiTheme="minorHAnsi" w:cstheme="minorHAnsi"/>
          <w:sz w:val="22"/>
          <w:szCs w:val="22"/>
        </w:rPr>
        <w:t>26</w:t>
      </w:r>
      <w:r w:rsidRPr="00184724">
        <w:rPr>
          <w:rFonts w:asciiTheme="minorHAnsi" w:hAnsiTheme="minorHAnsi" w:cstheme="minorHAnsi"/>
          <w:sz w:val="22"/>
          <w:szCs w:val="22"/>
        </w:rPr>
        <w:t xml:space="preserve">% purchased medication over the counter and </w:t>
      </w:r>
      <w:r>
        <w:rPr>
          <w:rFonts w:asciiTheme="minorHAnsi" w:hAnsiTheme="minorHAnsi" w:cstheme="minorHAnsi"/>
          <w:sz w:val="22"/>
          <w:szCs w:val="22"/>
        </w:rPr>
        <w:t>36</w:t>
      </w:r>
      <w:r w:rsidRPr="00184724">
        <w:rPr>
          <w:rFonts w:asciiTheme="minorHAnsi" w:hAnsiTheme="minorHAnsi" w:cstheme="minorHAnsi"/>
          <w:sz w:val="22"/>
          <w:szCs w:val="22"/>
        </w:rPr>
        <w:t xml:space="preserve">% </w:t>
      </w:r>
      <w:r>
        <w:rPr>
          <w:rFonts w:asciiTheme="minorHAnsi" w:hAnsiTheme="minorHAnsi" w:cstheme="minorHAnsi"/>
          <w:sz w:val="22"/>
          <w:szCs w:val="22"/>
        </w:rPr>
        <w:t>p</w:t>
      </w:r>
      <w:r w:rsidRPr="00184724">
        <w:rPr>
          <w:rFonts w:asciiTheme="minorHAnsi" w:hAnsiTheme="minorHAnsi" w:cstheme="minorHAnsi"/>
          <w:sz w:val="22"/>
          <w:szCs w:val="22"/>
        </w:rPr>
        <w:t>urchased products other than medicines.</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The majority of respondents who had used a community pharmacy in the last twelve months rated the standard of the premises (97%), convenience of access (96%) and the opening hours (92%) as excellent or good.  Four-fifths of respondents rated the quality of the advice provided as excellent or good.</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Almost all respondents (98%) said that they were either very satisfied or satisfied with the service provided by their community pharmacy.</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sidRPr="00021391">
        <w:rPr>
          <w:rFonts w:asciiTheme="minorHAnsi" w:hAnsiTheme="minorHAnsi" w:cstheme="minorHAnsi"/>
          <w:sz w:val="22"/>
          <w:szCs w:val="22"/>
        </w:rPr>
        <w:t>A greater emphasis is being placed on pharmacists working closely with GPs and other healthcare professionals.   In light of this,</w:t>
      </w:r>
      <w:r>
        <w:rPr>
          <w:rFonts w:asciiTheme="minorHAnsi" w:hAnsiTheme="minorHAnsi" w:cstheme="minorHAnsi"/>
          <w:sz w:val="22"/>
          <w:szCs w:val="22"/>
        </w:rPr>
        <w:t xml:space="preserve"> respondents were asked if they would be content for a pharmacist to have an increased involvement in helping to manage their medicines in various ways.  The majority of respondents stated that they would be content for the pharmacist to refer them to their GP (89%), to provide detailed information about their medicine (87%), provide relevant health information to help manage a long-term condition (84%) and to have access to information about their prescribed medicines (83%).</w:t>
      </w:r>
    </w:p>
    <w:p w:rsidR="004A363D" w:rsidRDefault="004A363D" w:rsidP="00E535C6">
      <w:pPr>
        <w:tabs>
          <w:tab w:val="left" w:pos="-180"/>
        </w:tabs>
        <w:suppressAutoHyphens/>
        <w:spacing w:before="240" w:after="120"/>
        <w:rPr>
          <w:rFonts w:asciiTheme="minorHAnsi" w:hAnsiTheme="minorHAnsi" w:cstheme="minorHAnsi"/>
          <w:b/>
          <w:color w:val="CC3399"/>
          <w:sz w:val="22"/>
          <w:szCs w:val="22"/>
        </w:rPr>
      </w:pPr>
    </w:p>
    <w:p w:rsidR="00F01420" w:rsidRPr="00822D64" w:rsidRDefault="00F01420" w:rsidP="004A363D">
      <w:pPr>
        <w:tabs>
          <w:tab w:val="left" w:pos="-180"/>
        </w:tabs>
        <w:suppressAutoHyphens/>
        <w:spacing w:before="240" w:after="6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lastRenderedPageBreak/>
        <w:t>Likelihood of using services provided by Community Pharmacy</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Around three-fifths of respondents said that they would be likely to use a community pharmacy for provision of services which screen for undiagnosed conditions such as diabetes (62%), flu vaccination clinic (58%) and provision of advice and information to help them to stay healthy (57%).  Almost half (46%) said that they would use a weight management service provided by a community pharmacy, while one-third said that they would use a contraception service.</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Three-fifths of current smokers stated that they would use their community pharmacy for stop smoking services with younger respondents (76% of 16-24 year olds) more likely to do so than older respondents (28% of those aged 75+) and females (66%) more likely than males (52%). </w:t>
      </w:r>
    </w:p>
    <w:p w:rsidR="00F01420" w:rsidRPr="00822D64" w:rsidRDefault="00F01420" w:rsidP="004A363D">
      <w:pPr>
        <w:tabs>
          <w:tab w:val="left" w:pos="-180"/>
        </w:tabs>
        <w:suppressAutoHyphens/>
        <w:spacing w:before="120" w:after="6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Health and Social Care Services Complaints Procedure</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Just over half of respondents (55%) were aware that there is a Health and Social Care Complaints Procedure and 41% knew how to go about making a complaint.</w:t>
      </w:r>
    </w:p>
    <w:p w:rsidR="00F01420" w:rsidRPr="00822D64" w:rsidRDefault="00F01420" w:rsidP="004A363D">
      <w:pPr>
        <w:tabs>
          <w:tab w:val="left" w:pos="-180"/>
        </w:tabs>
        <w:suppressAutoHyphens/>
        <w:spacing w:before="120" w:after="60"/>
        <w:rPr>
          <w:rFonts w:asciiTheme="minorHAnsi" w:hAnsiTheme="minorHAnsi" w:cstheme="minorHAnsi"/>
          <w:b/>
          <w:color w:val="CC3399"/>
          <w:sz w:val="22"/>
          <w:szCs w:val="22"/>
        </w:rPr>
      </w:pPr>
      <w:r w:rsidRPr="00822D64">
        <w:rPr>
          <w:rFonts w:asciiTheme="minorHAnsi" w:hAnsiTheme="minorHAnsi" w:cstheme="minorHAnsi"/>
          <w:b/>
          <w:color w:val="CC3399"/>
          <w:sz w:val="22"/>
          <w:szCs w:val="22"/>
        </w:rPr>
        <w:t>Health and Social Care Services Rating</w:t>
      </w:r>
    </w:p>
    <w:p w:rsidR="00F01420" w:rsidRDefault="00F01420" w:rsidP="00822D64">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Around four-fifths of respondents rated Health and Social Care Services as excellent or good in terms of safety (82%), patient experience (79%) and effectiveness (78%).</w:t>
      </w:r>
    </w:p>
    <w:p w:rsidR="00F01420" w:rsidRPr="0016551B" w:rsidRDefault="00F01420" w:rsidP="00F01420">
      <w:pPr>
        <w:tabs>
          <w:tab w:val="center" w:pos="4075"/>
        </w:tabs>
        <w:autoSpaceDE w:val="0"/>
        <w:autoSpaceDN w:val="0"/>
        <w:adjustRightInd w:val="0"/>
        <w:spacing w:after="60"/>
        <w:rPr>
          <w:rFonts w:asciiTheme="minorHAnsi" w:hAnsiTheme="minorHAnsi" w:cstheme="minorHAnsi"/>
        </w:rPr>
      </w:pPr>
      <w:r w:rsidRPr="0016551B">
        <w:rPr>
          <w:rFonts w:asciiTheme="minorHAnsi" w:hAnsiTheme="minorHAnsi" w:cstheme="minorHAnsi"/>
          <w:b/>
          <w:bCs/>
          <w:lang w:val="en-US"/>
        </w:rPr>
        <w:t xml:space="preserve">Overall </w:t>
      </w:r>
      <w:r>
        <w:rPr>
          <w:rFonts w:asciiTheme="minorHAnsi" w:hAnsiTheme="minorHAnsi" w:cstheme="minorHAnsi"/>
          <w:b/>
          <w:bCs/>
          <w:lang w:val="en-US"/>
        </w:rPr>
        <w:t xml:space="preserve">Rating of </w:t>
      </w:r>
      <w:r w:rsidRPr="0016551B">
        <w:rPr>
          <w:rFonts w:asciiTheme="minorHAnsi" w:hAnsiTheme="minorHAnsi" w:cstheme="minorHAnsi"/>
          <w:b/>
          <w:bCs/>
          <w:lang w:val="en-US"/>
        </w:rPr>
        <w:t>Quality of Health and Social Care services in terms of...</w:t>
      </w:r>
    </w:p>
    <w:p w:rsidR="00F01420" w:rsidRDefault="00F01420" w:rsidP="00F01420">
      <w:pPr>
        <w:tabs>
          <w:tab w:val="left" w:pos="-180"/>
        </w:tabs>
        <w:suppressAutoHyphens/>
        <w:spacing w:after="120"/>
        <w:rPr>
          <w:rFonts w:asciiTheme="minorHAnsi" w:hAnsiTheme="minorHAnsi" w:cstheme="minorHAnsi"/>
          <w:b/>
          <w:color w:val="4F81BD" w:themeColor="accent1"/>
          <w:sz w:val="24"/>
          <w:szCs w:val="24"/>
        </w:rPr>
      </w:pPr>
      <w:r w:rsidRPr="00822D64">
        <w:rPr>
          <w:rFonts w:asciiTheme="minorHAnsi" w:hAnsiTheme="minorHAnsi" w:cstheme="minorHAnsi"/>
          <w:b/>
          <w:noProof/>
          <w:color w:val="CC3399"/>
          <w:sz w:val="24"/>
          <w:szCs w:val="24"/>
          <w:lang w:val="en-IE" w:eastAsia="en-IE"/>
        </w:rPr>
        <w:drawing>
          <wp:inline distT="0" distB="0" distL="0" distR="0">
            <wp:extent cx="4324350" cy="1836000"/>
            <wp:effectExtent l="0" t="0" r="0" b="0"/>
            <wp:docPr id="8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E60A7" w:rsidRDefault="006E60A7" w:rsidP="007A412E">
      <w:pPr>
        <w:pStyle w:val="Heading2"/>
        <w:spacing w:before="0" w:after="60"/>
        <w:rPr>
          <w:rFonts w:asciiTheme="minorHAnsi" w:hAnsiTheme="minorHAnsi" w:cstheme="minorHAnsi"/>
          <w:sz w:val="24"/>
          <w:szCs w:val="24"/>
        </w:rPr>
        <w:sectPr w:rsidR="006E60A7" w:rsidSect="007033B0">
          <w:pgSz w:w="16838" w:h="11906" w:orient="landscape"/>
          <w:pgMar w:top="737" w:right="1247" w:bottom="737" w:left="1247" w:header="454" w:footer="567" w:gutter="0"/>
          <w:cols w:num="2" w:space="454"/>
          <w:docGrid w:linePitch="360"/>
        </w:sectPr>
      </w:pPr>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FD551B" w:rsidRPr="00DC2342" w:rsidTr="006970D4">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CCFFCC"/>
            </w:tcBorders>
            <w:shd w:val="clear" w:color="auto" w:fill="009900"/>
            <w:textDirection w:val="btLr"/>
          </w:tcPr>
          <w:p w:rsidR="00FD551B" w:rsidRPr="006970D4" w:rsidRDefault="00784620" w:rsidP="00406DE6">
            <w:pPr>
              <w:pStyle w:val="Heading2"/>
              <w:spacing w:before="0" w:after="60"/>
              <w:ind w:left="113" w:right="113"/>
              <w:jc w:val="center"/>
              <w:outlineLvl w:val="1"/>
              <w:rPr>
                <w:rFonts w:ascii="Calibri" w:hAnsi="Calibri" w:cs="Calibri"/>
                <w:i/>
                <w:color w:val="CCFFCC"/>
                <w:sz w:val="72"/>
                <w:szCs w:val="72"/>
              </w:rPr>
            </w:pPr>
            <w:bookmarkStart w:id="31" w:name="_Ref382555555"/>
            <w:r w:rsidRPr="006970D4">
              <w:rPr>
                <w:rFonts w:ascii="Calibri" w:hAnsi="Calibri" w:cs="Calibri"/>
                <w:i/>
                <w:color w:val="CCFFCC"/>
                <w:sz w:val="72"/>
                <w:szCs w:val="72"/>
              </w:rPr>
              <w:lastRenderedPageBreak/>
              <w:t>Healthy Lifestyles</w:t>
            </w:r>
            <w:bookmarkEnd w:id="31"/>
          </w:p>
        </w:tc>
        <w:tc>
          <w:tcPr>
            <w:tcW w:w="5977" w:type="dxa"/>
            <w:tcBorders>
              <w:top w:val="nil"/>
              <w:left w:val="thinThickSmallGap" w:sz="24" w:space="0" w:color="CCFFCC"/>
              <w:bottom w:val="nil"/>
              <w:right w:val="nil"/>
            </w:tcBorders>
            <w:shd w:val="clear" w:color="auto" w:fill="009900"/>
            <w:vAlign w:val="center"/>
          </w:tcPr>
          <w:p w:rsidR="00FD551B" w:rsidRPr="00DC2342" w:rsidRDefault="00FD551B" w:rsidP="00406DE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84620">
              <w:rPr>
                <w:rFonts w:asciiTheme="minorHAnsi" w:hAnsiTheme="minorHAnsi" w:cstheme="minorHAnsi"/>
                <w:i/>
                <w:color w:val="FFFFFF" w:themeColor="background1"/>
                <w:sz w:val="28"/>
                <w:szCs w:val="28"/>
              </w:rPr>
              <w:t>Smoking</w:t>
            </w:r>
          </w:p>
        </w:tc>
      </w:tr>
      <w:tr w:rsidR="00FD551B" w:rsidRPr="00DC2342" w:rsidTr="006970D4">
        <w:trPr>
          <w:cantSplit/>
          <w:trHeight w:val="1928"/>
        </w:trPr>
        <w:tc>
          <w:tcPr>
            <w:tcW w:w="1184" w:type="dxa"/>
            <w:vMerge/>
            <w:tcBorders>
              <w:left w:val="single" w:sz="4" w:space="0" w:color="95B3D7" w:themeColor="accent1" w:themeTint="99"/>
              <w:right w:val="thinThickSmallGap" w:sz="24" w:space="0" w:color="CCFFCC"/>
            </w:tcBorders>
            <w:shd w:val="clear" w:color="auto" w:fill="009900"/>
          </w:tcPr>
          <w:p w:rsidR="00FD551B" w:rsidRPr="006F13A2" w:rsidRDefault="00FD551B"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CC"/>
              <w:bottom w:val="nil"/>
              <w:right w:val="nil"/>
            </w:tcBorders>
            <w:shd w:val="clear" w:color="auto" w:fill="009900"/>
            <w:vAlign w:val="center"/>
          </w:tcPr>
          <w:p w:rsidR="00FD551B" w:rsidRPr="00DC2342" w:rsidRDefault="00FD551B" w:rsidP="00784620">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84620">
              <w:rPr>
                <w:rFonts w:asciiTheme="minorHAnsi" w:hAnsiTheme="minorHAnsi" w:cstheme="minorHAnsi"/>
                <w:i/>
                <w:color w:val="FFFFFF" w:themeColor="background1"/>
                <w:sz w:val="28"/>
                <w:szCs w:val="28"/>
              </w:rPr>
              <w:t>Alcohol</w:t>
            </w:r>
          </w:p>
        </w:tc>
      </w:tr>
      <w:tr w:rsidR="00FD551B" w:rsidRPr="00DC2342" w:rsidTr="006970D4">
        <w:trPr>
          <w:cantSplit/>
          <w:trHeight w:val="1928"/>
        </w:trPr>
        <w:tc>
          <w:tcPr>
            <w:tcW w:w="1184" w:type="dxa"/>
            <w:vMerge/>
            <w:tcBorders>
              <w:left w:val="single" w:sz="4" w:space="0" w:color="95B3D7" w:themeColor="accent1" w:themeTint="99"/>
              <w:right w:val="thinThickSmallGap" w:sz="24" w:space="0" w:color="CCFFCC"/>
            </w:tcBorders>
            <w:shd w:val="clear" w:color="auto" w:fill="009900"/>
          </w:tcPr>
          <w:p w:rsidR="00FD551B" w:rsidRPr="006F13A2" w:rsidRDefault="00FD551B"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CC"/>
              <w:bottom w:val="nil"/>
              <w:right w:val="nil"/>
            </w:tcBorders>
            <w:shd w:val="clear" w:color="auto" w:fill="009900"/>
            <w:vAlign w:val="center"/>
          </w:tcPr>
          <w:p w:rsidR="00FD551B" w:rsidRPr="00DC2342" w:rsidRDefault="00FD551B" w:rsidP="00784620">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84620">
              <w:rPr>
                <w:rFonts w:asciiTheme="minorHAnsi" w:hAnsiTheme="minorHAnsi" w:cstheme="minorHAnsi"/>
                <w:i/>
                <w:color w:val="FFFFFF" w:themeColor="background1"/>
                <w:sz w:val="28"/>
                <w:szCs w:val="28"/>
              </w:rPr>
              <w:t>Adult obesity</w:t>
            </w:r>
          </w:p>
        </w:tc>
      </w:tr>
      <w:tr w:rsidR="00FD551B" w:rsidRPr="00DC2342" w:rsidTr="006970D4">
        <w:trPr>
          <w:cantSplit/>
          <w:trHeight w:val="1928"/>
        </w:trPr>
        <w:tc>
          <w:tcPr>
            <w:tcW w:w="1184" w:type="dxa"/>
            <w:vMerge/>
            <w:tcBorders>
              <w:left w:val="single" w:sz="4" w:space="0" w:color="95B3D7" w:themeColor="accent1" w:themeTint="99"/>
              <w:right w:val="thinThickSmallGap" w:sz="24" w:space="0" w:color="CCFFCC"/>
            </w:tcBorders>
            <w:shd w:val="clear" w:color="auto" w:fill="009900"/>
          </w:tcPr>
          <w:p w:rsidR="00FD551B" w:rsidRPr="006F13A2" w:rsidRDefault="00FD551B"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CC"/>
              <w:bottom w:val="nil"/>
              <w:right w:val="nil"/>
            </w:tcBorders>
            <w:shd w:val="clear" w:color="auto" w:fill="009900"/>
            <w:vAlign w:val="center"/>
          </w:tcPr>
          <w:p w:rsidR="00FD551B" w:rsidRPr="00DC2342" w:rsidRDefault="00FD551B" w:rsidP="00784620">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84620">
              <w:rPr>
                <w:rFonts w:asciiTheme="minorHAnsi" w:hAnsiTheme="minorHAnsi" w:cstheme="minorHAnsi"/>
                <w:i/>
                <w:color w:val="FFFFFF" w:themeColor="background1"/>
                <w:sz w:val="28"/>
                <w:szCs w:val="28"/>
              </w:rPr>
              <w:t>Physical activity</w:t>
            </w:r>
          </w:p>
        </w:tc>
      </w:tr>
      <w:tr w:rsidR="00FD551B" w:rsidRPr="00DC2342" w:rsidTr="006970D4">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CCFFCC"/>
            </w:tcBorders>
            <w:shd w:val="clear" w:color="auto" w:fill="009900"/>
          </w:tcPr>
          <w:p w:rsidR="00FD551B" w:rsidRPr="006F13A2" w:rsidRDefault="00FD551B" w:rsidP="00406DE6">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CC"/>
              <w:bottom w:val="nil"/>
              <w:right w:val="nil"/>
            </w:tcBorders>
            <w:shd w:val="clear" w:color="auto" w:fill="009900"/>
            <w:vAlign w:val="center"/>
          </w:tcPr>
          <w:p w:rsidR="00FD551B" w:rsidRPr="00DC2342" w:rsidRDefault="00784620" w:rsidP="00406DE6">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Sedentary behaviour</w:t>
            </w:r>
          </w:p>
        </w:tc>
      </w:tr>
    </w:tbl>
    <w:p w:rsidR="00FD551B" w:rsidRDefault="00FD551B" w:rsidP="00FD551B">
      <w:pPr>
        <w:jc w:val="left"/>
        <w:rPr>
          <w:rFonts w:asciiTheme="minorHAnsi" w:hAnsiTheme="minorHAnsi" w:cstheme="minorHAnsi"/>
          <w:i/>
          <w:sz w:val="22"/>
          <w:szCs w:val="22"/>
        </w:rPr>
      </w:pPr>
    </w:p>
    <w:p w:rsidR="00FD551B" w:rsidRPr="00912366" w:rsidRDefault="00FD551B" w:rsidP="00FD551B">
      <w:pPr>
        <w:jc w:val="left"/>
        <w:rPr>
          <w:rFonts w:asciiTheme="minorHAnsi" w:hAnsiTheme="minorHAnsi" w:cstheme="minorHAnsi"/>
          <w:i/>
          <w:color w:val="FFFFFF" w:themeColor="background1"/>
          <w:sz w:val="22"/>
          <w:szCs w:val="22"/>
        </w:rPr>
      </w:pPr>
    </w:p>
    <w:p w:rsidR="00FD551B" w:rsidRPr="00912366" w:rsidRDefault="00FD551B" w:rsidP="00FD551B">
      <w:pPr>
        <w:jc w:val="left"/>
        <w:rPr>
          <w:rFonts w:asciiTheme="minorHAnsi" w:hAnsiTheme="minorHAnsi" w:cstheme="minorHAnsi"/>
          <w:i/>
          <w:color w:val="FFFFFF" w:themeColor="background1"/>
          <w:sz w:val="22"/>
          <w:szCs w:val="22"/>
        </w:rPr>
      </w:pPr>
    </w:p>
    <w:p w:rsidR="00FD551B" w:rsidRPr="00912366" w:rsidRDefault="00FD551B" w:rsidP="00FD551B">
      <w:pPr>
        <w:jc w:val="left"/>
        <w:rPr>
          <w:rFonts w:asciiTheme="minorHAnsi" w:hAnsiTheme="minorHAnsi" w:cstheme="minorHAnsi"/>
          <w:i/>
          <w:color w:val="FFFFFF" w:themeColor="background1"/>
          <w:sz w:val="22"/>
          <w:szCs w:val="22"/>
        </w:rPr>
      </w:pPr>
    </w:p>
    <w:tbl>
      <w:tblPr>
        <w:tblStyle w:val="TableGrid"/>
        <w:tblW w:w="0" w:type="auto"/>
        <w:tblLook w:val="04A0" w:firstRow="1" w:lastRow="0" w:firstColumn="1" w:lastColumn="0" w:noHBand="0" w:noVBand="1"/>
      </w:tblPr>
      <w:tblGrid>
        <w:gridCol w:w="1432"/>
        <w:gridCol w:w="1432"/>
        <w:gridCol w:w="1432"/>
        <w:gridCol w:w="1432"/>
        <w:gridCol w:w="1433"/>
      </w:tblGrid>
      <w:tr w:rsidR="00FD551B" w:rsidRPr="00912366" w:rsidTr="006970D4">
        <w:trPr>
          <w:trHeight w:val="1361"/>
        </w:trPr>
        <w:tc>
          <w:tcPr>
            <w:tcW w:w="2864" w:type="dxa"/>
            <w:gridSpan w:val="2"/>
            <w:tcBorders>
              <w:top w:val="nil"/>
              <w:left w:val="nil"/>
              <w:bottom w:val="nil"/>
              <w:right w:val="nil"/>
            </w:tcBorders>
            <w:shd w:val="clear" w:color="auto" w:fill="009900"/>
            <w:vAlign w:val="center"/>
          </w:tcPr>
          <w:p w:rsidR="00FD551B" w:rsidRPr="00F90FE4" w:rsidRDefault="00912366" w:rsidP="00912366">
            <w:pPr>
              <w:jc w:val="left"/>
              <w:rPr>
                <w:rFonts w:asciiTheme="minorHAnsi" w:hAnsiTheme="minorHAnsi" w:cstheme="minorHAnsi"/>
                <w:b/>
                <w:i/>
                <w:color w:val="FFFFFF" w:themeColor="background1"/>
                <w:sz w:val="24"/>
                <w:szCs w:val="24"/>
              </w:rPr>
            </w:pPr>
            <w:r w:rsidRPr="00F90FE4">
              <w:rPr>
                <w:rFonts w:asciiTheme="minorHAnsi" w:hAnsiTheme="minorHAnsi" w:cstheme="minorHAnsi"/>
                <w:b/>
                <w:i/>
                <w:color w:val="FFFFFF" w:themeColor="background1"/>
                <w:sz w:val="22"/>
                <w:szCs w:val="22"/>
              </w:rPr>
              <w:t>53% of respondents met the new recommendations of 150 or more minutes of exercise per week</w:t>
            </w: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2865" w:type="dxa"/>
            <w:gridSpan w:val="2"/>
            <w:vMerge w:val="restart"/>
            <w:tcBorders>
              <w:top w:val="nil"/>
              <w:left w:val="nil"/>
              <w:bottom w:val="nil"/>
              <w:right w:val="nil"/>
            </w:tcBorders>
            <w:shd w:val="clear" w:color="auto" w:fill="336600"/>
            <w:vAlign w:val="center"/>
          </w:tcPr>
          <w:p w:rsidR="00FD551B" w:rsidRPr="00F90FE4" w:rsidRDefault="00F90FE4" w:rsidP="00F90FE4">
            <w:pPr>
              <w:jc w:val="left"/>
              <w:rPr>
                <w:rFonts w:asciiTheme="minorHAnsi" w:hAnsiTheme="minorHAnsi" w:cstheme="minorHAnsi"/>
                <w:i/>
                <w:color w:val="FFFFFF" w:themeColor="background1"/>
                <w:sz w:val="32"/>
                <w:szCs w:val="32"/>
              </w:rPr>
            </w:pPr>
            <w:r w:rsidRPr="00F90FE4">
              <w:rPr>
                <w:rFonts w:asciiTheme="minorHAnsi" w:hAnsiTheme="minorHAnsi" w:cstheme="minorHAnsi"/>
                <w:i/>
                <w:color w:val="FFFFFF" w:themeColor="background1"/>
                <w:sz w:val="32"/>
                <w:szCs w:val="32"/>
              </w:rPr>
              <w:t xml:space="preserve">25% </w:t>
            </w:r>
            <w:r w:rsidR="00912366" w:rsidRPr="00F90FE4">
              <w:rPr>
                <w:rFonts w:asciiTheme="minorHAnsi" w:hAnsiTheme="minorHAnsi" w:cstheme="minorHAnsi"/>
                <w:i/>
                <w:color w:val="FFFFFF" w:themeColor="background1"/>
                <w:sz w:val="32"/>
                <w:szCs w:val="32"/>
              </w:rPr>
              <w:t>of adults were obese with a further 37% classified as overweight</w:t>
            </w:r>
          </w:p>
        </w:tc>
      </w:tr>
      <w:tr w:rsidR="00FD551B" w:rsidRPr="00912366" w:rsidTr="006970D4">
        <w:trPr>
          <w:trHeight w:val="1020"/>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2865" w:type="dxa"/>
            <w:gridSpan w:val="2"/>
            <w:vMerge/>
            <w:tcBorders>
              <w:top w:val="nil"/>
              <w:left w:val="nil"/>
              <w:bottom w:val="nil"/>
              <w:right w:val="nil"/>
            </w:tcBorders>
            <w:shd w:val="clear" w:color="auto" w:fill="336600"/>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406DE6">
        <w:trPr>
          <w:trHeight w:val="340"/>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6970D4">
        <w:trPr>
          <w:trHeight w:val="1587"/>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33CC33"/>
            <w:vAlign w:val="center"/>
          </w:tcPr>
          <w:p w:rsidR="00FD551B" w:rsidRPr="00F90FE4" w:rsidRDefault="00912366" w:rsidP="00912366">
            <w:pPr>
              <w:jc w:val="left"/>
              <w:rPr>
                <w:rFonts w:asciiTheme="minorHAnsi" w:hAnsiTheme="minorHAnsi" w:cstheme="minorHAnsi"/>
                <w:b/>
                <w:i/>
                <w:color w:val="FFFFFF" w:themeColor="background1"/>
                <w:sz w:val="32"/>
                <w:szCs w:val="32"/>
              </w:rPr>
            </w:pPr>
            <w:r w:rsidRPr="00F90FE4">
              <w:rPr>
                <w:rFonts w:asciiTheme="minorHAnsi" w:hAnsiTheme="minorHAnsi" w:cstheme="minorHAnsi"/>
                <w:b/>
                <w:i/>
                <w:color w:val="FFFFFF" w:themeColor="background1"/>
                <w:sz w:val="32"/>
                <w:szCs w:val="32"/>
              </w:rPr>
              <w:t>24% of respondents were current smokers (25% of males &amp; 23% of females)</w:t>
            </w:r>
          </w:p>
        </w:tc>
        <w:tc>
          <w:tcPr>
            <w:tcW w:w="1433"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406DE6">
        <w:trPr>
          <w:trHeight w:val="510"/>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6970D4">
        <w:trPr>
          <w:trHeight w:val="1361"/>
        </w:trPr>
        <w:tc>
          <w:tcPr>
            <w:tcW w:w="2864" w:type="dxa"/>
            <w:gridSpan w:val="2"/>
            <w:vMerge w:val="restart"/>
            <w:tcBorders>
              <w:top w:val="nil"/>
              <w:left w:val="nil"/>
              <w:bottom w:val="nil"/>
              <w:right w:val="nil"/>
            </w:tcBorders>
            <w:shd w:val="clear" w:color="auto" w:fill="CCFFCC"/>
            <w:vAlign w:val="center"/>
          </w:tcPr>
          <w:p w:rsidR="00FD551B" w:rsidRPr="00F90FE4" w:rsidRDefault="00912366" w:rsidP="00406DE6">
            <w:pPr>
              <w:jc w:val="left"/>
              <w:rPr>
                <w:rFonts w:asciiTheme="minorHAnsi" w:hAnsiTheme="minorHAnsi" w:cstheme="minorHAnsi"/>
                <w:i/>
                <w:color w:val="4F6228" w:themeColor="accent3" w:themeShade="80"/>
                <w:sz w:val="28"/>
                <w:szCs w:val="28"/>
              </w:rPr>
            </w:pPr>
            <w:r w:rsidRPr="00F90FE4">
              <w:rPr>
                <w:rFonts w:asciiTheme="minorHAnsi" w:hAnsiTheme="minorHAnsi" w:cstheme="minorHAnsi"/>
                <w:i/>
                <w:color w:val="4F6228" w:themeColor="accent3" w:themeShade="80"/>
                <w:sz w:val="28"/>
                <w:szCs w:val="28"/>
              </w:rPr>
              <w:t>Females were more likely to never have smoked (53%) than males (43%)</w:t>
            </w: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333300"/>
            <w:vAlign w:val="center"/>
          </w:tcPr>
          <w:p w:rsidR="00FD551B" w:rsidRPr="00F90FE4" w:rsidRDefault="00912366" w:rsidP="00912366">
            <w:pPr>
              <w:jc w:val="left"/>
              <w:rPr>
                <w:rFonts w:asciiTheme="minorHAnsi" w:hAnsiTheme="minorHAnsi" w:cstheme="minorHAnsi"/>
                <w:b/>
                <w:i/>
                <w:color w:val="FFFFFF" w:themeColor="background1"/>
              </w:rPr>
            </w:pPr>
            <w:r w:rsidRPr="00F90FE4">
              <w:rPr>
                <w:rFonts w:asciiTheme="minorHAnsi" w:hAnsiTheme="minorHAnsi" w:cstheme="minorHAnsi"/>
                <w:i/>
                <w:color w:val="FFFFFF" w:themeColor="background1"/>
              </w:rPr>
              <w:t>79% of those surveyed stated that they drank alcohol</w:t>
            </w:r>
          </w:p>
        </w:tc>
        <w:tc>
          <w:tcPr>
            <w:tcW w:w="1433"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6970D4">
        <w:trPr>
          <w:trHeight w:val="567"/>
        </w:trPr>
        <w:tc>
          <w:tcPr>
            <w:tcW w:w="2864" w:type="dxa"/>
            <w:gridSpan w:val="2"/>
            <w:vMerge/>
            <w:tcBorders>
              <w:top w:val="nil"/>
              <w:left w:val="nil"/>
              <w:bottom w:val="nil"/>
              <w:right w:val="nil"/>
            </w:tcBorders>
            <w:shd w:val="clear" w:color="auto" w:fill="CCFFCC"/>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3"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406DE6">
        <w:trPr>
          <w:trHeight w:val="283"/>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r>
      <w:tr w:rsidR="00FD551B" w:rsidRPr="00912366" w:rsidTr="006970D4">
        <w:trPr>
          <w:trHeight w:val="1701"/>
        </w:trPr>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FD551B" w:rsidRPr="00912366" w:rsidRDefault="00FD551B" w:rsidP="00406DE6">
            <w:pPr>
              <w:jc w:val="left"/>
              <w:rPr>
                <w:rFonts w:asciiTheme="minorHAnsi" w:hAnsiTheme="minorHAnsi" w:cstheme="minorHAnsi"/>
                <w:b/>
                <w:i/>
                <w:color w:val="FFFFFF" w:themeColor="background1"/>
                <w:sz w:val="22"/>
                <w:szCs w:val="22"/>
              </w:rPr>
            </w:pPr>
          </w:p>
        </w:tc>
        <w:tc>
          <w:tcPr>
            <w:tcW w:w="4297" w:type="dxa"/>
            <w:gridSpan w:val="3"/>
            <w:tcBorders>
              <w:top w:val="nil"/>
              <w:left w:val="nil"/>
              <w:bottom w:val="nil"/>
              <w:right w:val="nil"/>
            </w:tcBorders>
            <w:shd w:val="clear" w:color="auto" w:fill="99FF33"/>
            <w:vAlign w:val="center"/>
          </w:tcPr>
          <w:p w:rsidR="00FD551B" w:rsidRPr="00F90FE4" w:rsidRDefault="00F90FE4" w:rsidP="00F90FE4">
            <w:pPr>
              <w:jc w:val="left"/>
              <w:rPr>
                <w:rFonts w:asciiTheme="minorHAnsi" w:hAnsiTheme="minorHAnsi" w:cstheme="minorHAnsi"/>
                <w:b/>
                <w:i/>
                <w:color w:val="4F6228" w:themeColor="accent3" w:themeShade="80"/>
                <w:sz w:val="32"/>
                <w:szCs w:val="32"/>
              </w:rPr>
            </w:pPr>
            <w:r w:rsidRPr="00F90FE4">
              <w:rPr>
                <w:rFonts w:asciiTheme="minorHAnsi" w:hAnsiTheme="minorHAnsi" w:cstheme="minorHAnsi"/>
                <w:i/>
                <w:color w:val="4F6228" w:themeColor="accent3" w:themeShade="80"/>
                <w:sz w:val="32"/>
                <w:szCs w:val="32"/>
              </w:rPr>
              <w:t>48%</w:t>
            </w:r>
            <w:r w:rsidR="00912366" w:rsidRPr="00F90FE4">
              <w:rPr>
                <w:rFonts w:asciiTheme="minorHAnsi" w:hAnsiTheme="minorHAnsi" w:cstheme="minorHAnsi"/>
                <w:i/>
                <w:color w:val="4F6228" w:themeColor="accent3" w:themeShade="80"/>
                <w:sz w:val="32"/>
                <w:szCs w:val="32"/>
              </w:rPr>
              <w:t xml:space="preserve"> of respondents that had stopped drinking alcohol did so for health reasons</w:t>
            </w:r>
          </w:p>
        </w:tc>
      </w:tr>
    </w:tbl>
    <w:p w:rsidR="006E60A7" w:rsidRPr="00912366" w:rsidRDefault="006E60A7" w:rsidP="007A412E">
      <w:pPr>
        <w:pStyle w:val="Heading2"/>
        <w:spacing w:before="0" w:after="60"/>
        <w:rPr>
          <w:rFonts w:asciiTheme="minorHAnsi" w:hAnsiTheme="minorHAnsi" w:cstheme="minorHAnsi"/>
          <w:i/>
          <w:color w:val="FFFFFF" w:themeColor="background1"/>
          <w:sz w:val="24"/>
          <w:szCs w:val="24"/>
        </w:rPr>
        <w:sectPr w:rsidR="006E60A7" w:rsidRPr="00912366" w:rsidSect="007033B0">
          <w:pgSz w:w="16838" w:h="11906" w:orient="landscape"/>
          <w:pgMar w:top="737" w:right="1247" w:bottom="737" w:left="1247" w:header="454" w:footer="567" w:gutter="0"/>
          <w:cols w:num="2" w:space="454"/>
          <w:docGrid w:linePitch="360"/>
        </w:sectPr>
      </w:pPr>
    </w:p>
    <w:p w:rsidR="00E3155F" w:rsidRPr="006970D4" w:rsidRDefault="00A27D02" w:rsidP="009F07B0">
      <w:pPr>
        <w:pStyle w:val="Heading2"/>
        <w:spacing w:before="0" w:after="120"/>
        <w:rPr>
          <w:rFonts w:asciiTheme="minorHAnsi" w:hAnsiTheme="minorHAnsi" w:cstheme="minorHAnsi"/>
          <w:color w:val="009900"/>
          <w:sz w:val="24"/>
          <w:szCs w:val="24"/>
        </w:rPr>
      </w:pPr>
      <w:r w:rsidRPr="006970D4">
        <w:rPr>
          <w:rFonts w:asciiTheme="minorHAnsi" w:hAnsiTheme="minorHAnsi" w:cstheme="minorHAnsi"/>
          <w:color w:val="009900"/>
          <w:sz w:val="24"/>
          <w:szCs w:val="24"/>
        </w:rPr>
        <w:lastRenderedPageBreak/>
        <w:t>Healthy Lifestyles</w:t>
      </w:r>
      <w:bookmarkEnd w:id="22"/>
    </w:p>
    <w:p w:rsidR="00A27D02" w:rsidRDefault="00A27D02" w:rsidP="00831425">
      <w:pPr>
        <w:tabs>
          <w:tab w:val="left" w:pos="-180"/>
        </w:tabs>
        <w:suppressAutoHyphens/>
        <w:spacing w:after="120" w:line="288" w:lineRule="auto"/>
        <w:rPr>
          <w:rFonts w:asciiTheme="minorHAnsi" w:hAnsiTheme="minorHAnsi" w:cstheme="minorHAnsi"/>
          <w:b/>
          <w:color w:val="4F81BD" w:themeColor="accent1"/>
          <w:sz w:val="24"/>
          <w:szCs w:val="24"/>
        </w:rPr>
      </w:pPr>
      <w:r>
        <w:rPr>
          <w:rFonts w:asciiTheme="minorHAnsi" w:hAnsiTheme="minorHAnsi" w:cstheme="minorHAnsi"/>
          <w:sz w:val="22"/>
          <w:szCs w:val="22"/>
        </w:rPr>
        <w:t xml:space="preserve">The majority of respondents (88%) believed that they led a healthy life (90% of females and 85% of males).  There was little difference </w:t>
      </w:r>
      <w:r w:rsidR="00E16449">
        <w:rPr>
          <w:rFonts w:asciiTheme="minorHAnsi" w:hAnsiTheme="minorHAnsi" w:cstheme="minorHAnsi"/>
          <w:sz w:val="22"/>
          <w:szCs w:val="22"/>
        </w:rPr>
        <w:t xml:space="preserve">across </w:t>
      </w:r>
      <w:r>
        <w:rPr>
          <w:rFonts w:asciiTheme="minorHAnsi" w:hAnsiTheme="minorHAnsi" w:cstheme="minorHAnsi"/>
          <w:sz w:val="22"/>
          <w:szCs w:val="22"/>
        </w:rPr>
        <w:t>Trust</w:t>
      </w:r>
      <w:r w:rsidR="00E16449">
        <w:rPr>
          <w:rFonts w:asciiTheme="minorHAnsi" w:hAnsiTheme="minorHAnsi" w:cstheme="minorHAnsi"/>
          <w:sz w:val="22"/>
          <w:szCs w:val="22"/>
        </w:rPr>
        <w:t>s</w:t>
      </w:r>
      <w:r>
        <w:rPr>
          <w:rFonts w:asciiTheme="minorHAnsi" w:hAnsiTheme="minorHAnsi" w:cstheme="minorHAnsi"/>
          <w:sz w:val="22"/>
          <w:szCs w:val="22"/>
        </w:rPr>
        <w:t xml:space="preserve"> or </w:t>
      </w:r>
      <w:r w:rsidR="00E16449">
        <w:rPr>
          <w:rFonts w:asciiTheme="minorHAnsi" w:hAnsiTheme="minorHAnsi" w:cstheme="minorHAnsi"/>
          <w:sz w:val="22"/>
          <w:szCs w:val="22"/>
        </w:rPr>
        <w:t>for those in</w:t>
      </w:r>
      <w:r>
        <w:rPr>
          <w:rFonts w:asciiTheme="minorHAnsi" w:hAnsiTheme="minorHAnsi" w:cstheme="minorHAnsi"/>
          <w:sz w:val="22"/>
          <w:szCs w:val="22"/>
        </w:rPr>
        <w:t xml:space="preserve"> urban </w:t>
      </w:r>
      <w:r w:rsidR="00E16449">
        <w:rPr>
          <w:rFonts w:asciiTheme="minorHAnsi" w:hAnsiTheme="minorHAnsi" w:cstheme="minorHAnsi"/>
          <w:sz w:val="22"/>
          <w:szCs w:val="22"/>
        </w:rPr>
        <w:t>and</w:t>
      </w:r>
      <w:r>
        <w:rPr>
          <w:rFonts w:asciiTheme="minorHAnsi" w:hAnsiTheme="minorHAnsi" w:cstheme="minorHAnsi"/>
          <w:sz w:val="22"/>
          <w:szCs w:val="22"/>
        </w:rPr>
        <w:t xml:space="preserve"> rural location</w:t>
      </w:r>
      <w:r w:rsidR="00E16449">
        <w:rPr>
          <w:rFonts w:asciiTheme="minorHAnsi" w:hAnsiTheme="minorHAnsi" w:cstheme="minorHAnsi"/>
          <w:sz w:val="22"/>
          <w:szCs w:val="22"/>
        </w:rPr>
        <w:t>s</w:t>
      </w:r>
      <w:r>
        <w:rPr>
          <w:rFonts w:asciiTheme="minorHAnsi" w:hAnsiTheme="minorHAnsi" w:cstheme="minorHAnsi"/>
          <w:sz w:val="22"/>
          <w:szCs w:val="22"/>
        </w:rPr>
        <w:t xml:space="preserve">.  Those living in the most deprived areas (18%) were more than twice as likely to say that they led an unhealthy life </w:t>
      </w:r>
      <w:r w:rsidR="00E16449">
        <w:rPr>
          <w:rFonts w:asciiTheme="minorHAnsi" w:hAnsiTheme="minorHAnsi" w:cstheme="minorHAnsi"/>
          <w:sz w:val="22"/>
          <w:szCs w:val="22"/>
        </w:rPr>
        <w:t>than</w:t>
      </w:r>
      <w:r>
        <w:rPr>
          <w:rFonts w:asciiTheme="minorHAnsi" w:hAnsiTheme="minorHAnsi" w:cstheme="minorHAnsi"/>
          <w:sz w:val="22"/>
          <w:szCs w:val="22"/>
        </w:rPr>
        <w:t xml:space="preserve"> those in the least deprived areas (8%).  More young respondents (16% of those aged 18-24) believed they led an unhealthy life than those </w:t>
      </w:r>
      <w:r w:rsidR="00A12F87">
        <w:rPr>
          <w:rFonts w:asciiTheme="minorHAnsi" w:hAnsiTheme="minorHAnsi" w:cstheme="minorHAnsi"/>
          <w:sz w:val="22"/>
          <w:szCs w:val="22"/>
        </w:rPr>
        <w:t>aged 75 and over (6%).</w:t>
      </w:r>
    </w:p>
    <w:p w:rsidR="00A12F87" w:rsidRPr="00A12F87" w:rsidRDefault="00A12F87" w:rsidP="00831425">
      <w:pPr>
        <w:tabs>
          <w:tab w:val="center" w:pos="4075"/>
        </w:tabs>
        <w:autoSpaceDE w:val="0"/>
        <w:autoSpaceDN w:val="0"/>
        <w:adjustRightInd w:val="0"/>
        <w:spacing w:after="120" w:line="288" w:lineRule="auto"/>
        <w:rPr>
          <w:rFonts w:asciiTheme="minorHAnsi" w:hAnsiTheme="minorHAnsi" w:cstheme="minorHAnsi"/>
          <w:sz w:val="22"/>
          <w:szCs w:val="22"/>
        </w:rPr>
      </w:pPr>
      <w:r w:rsidRPr="00A12F87">
        <w:rPr>
          <w:rFonts w:asciiTheme="minorHAnsi" w:hAnsiTheme="minorHAnsi" w:cstheme="minorHAnsi"/>
          <w:sz w:val="22"/>
          <w:szCs w:val="22"/>
        </w:rPr>
        <w:t xml:space="preserve">Almost three-quarters of respondents (73%) believed that </w:t>
      </w:r>
      <w:bookmarkStart w:id="32" w:name="OLE_LINK16"/>
      <w:bookmarkStart w:id="33" w:name="OLE_LINK17"/>
      <w:r w:rsidRPr="00A12F87">
        <w:rPr>
          <w:rFonts w:asciiTheme="minorHAnsi" w:hAnsiTheme="minorHAnsi" w:cstheme="minorHAnsi"/>
          <w:sz w:val="22"/>
          <w:szCs w:val="22"/>
        </w:rPr>
        <w:t>they could make their own life healthier</w:t>
      </w:r>
      <w:bookmarkEnd w:id="32"/>
      <w:bookmarkEnd w:id="33"/>
      <w:r w:rsidRPr="00A12F87">
        <w:rPr>
          <w:rFonts w:asciiTheme="minorHAnsi" w:hAnsiTheme="minorHAnsi" w:cstheme="minorHAnsi"/>
          <w:sz w:val="22"/>
          <w:szCs w:val="22"/>
        </w:rPr>
        <w:t>.</w:t>
      </w:r>
      <w:r w:rsidR="00DA19BD">
        <w:rPr>
          <w:rFonts w:asciiTheme="minorHAnsi" w:hAnsiTheme="minorHAnsi" w:cstheme="minorHAnsi"/>
          <w:sz w:val="22"/>
          <w:szCs w:val="22"/>
        </w:rPr>
        <w:t xml:space="preserve">  </w:t>
      </w:r>
      <w:r>
        <w:rPr>
          <w:rFonts w:asciiTheme="minorHAnsi" w:hAnsiTheme="minorHAnsi" w:cstheme="minorHAnsi"/>
          <w:sz w:val="22"/>
          <w:szCs w:val="22"/>
        </w:rPr>
        <w:t xml:space="preserve">Of those who believed this, the main things respondents </w:t>
      </w:r>
      <w:r w:rsidR="00E16449">
        <w:rPr>
          <w:rFonts w:asciiTheme="minorHAnsi" w:hAnsiTheme="minorHAnsi" w:cstheme="minorHAnsi"/>
          <w:sz w:val="22"/>
          <w:szCs w:val="22"/>
        </w:rPr>
        <w:t>thought</w:t>
      </w:r>
      <w:r>
        <w:rPr>
          <w:rFonts w:asciiTheme="minorHAnsi" w:hAnsiTheme="minorHAnsi" w:cstheme="minorHAnsi"/>
          <w:sz w:val="22"/>
          <w:szCs w:val="22"/>
        </w:rPr>
        <w:t xml:space="preserve"> they could do were be</w:t>
      </w:r>
      <w:r w:rsidR="00E16449">
        <w:rPr>
          <w:rFonts w:asciiTheme="minorHAnsi" w:hAnsiTheme="minorHAnsi" w:cstheme="minorHAnsi"/>
          <w:sz w:val="22"/>
          <w:szCs w:val="22"/>
        </w:rPr>
        <w:t>com</w:t>
      </w:r>
      <w:r>
        <w:rPr>
          <w:rFonts w:asciiTheme="minorHAnsi" w:hAnsiTheme="minorHAnsi" w:cstheme="minorHAnsi"/>
          <w:sz w:val="22"/>
          <w:szCs w:val="22"/>
        </w:rPr>
        <w:t>ing more physically active (57%), eating more healthily (50%), controlling their weight (35%) and reducing their stress</w:t>
      </w:r>
      <w:r w:rsidR="00E16449">
        <w:rPr>
          <w:rFonts w:asciiTheme="minorHAnsi" w:hAnsiTheme="minorHAnsi" w:cstheme="minorHAnsi"/>
          <w:sz w:val="22"/>
          <w:szCs w:val="22"/>
        </w:rPr>
        <w:t xml:space="preserve"> levels</w:t>
      </w:r>
      <w:r>
        <w:rPr>
          <w:rFonts w:asciiTheme="minorHAnsi" w:hAnsiTheme="minorHAnsi" w:cstheme="minorHAnsi"/>
          <w:sz w:val="22"/>
          <w:szCs w:val="22"/>
        </w:rPr>
        <w:t xml:space="preserve"> (32%).</w:t>
      </w:r>
    </w:p>
    <w:p w:rsidR="00413174" w:rsidRDefault="00692A8F" w:rsidP="00831425">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Of those who believed </w:t>
      </w:r>
      <w:r w:rsidRPr="00A12F87">
        <w:rPr>
          <w:rFonts w:asciiTheme="minorHAnsi" w:hAnsiTheme="minorHAnsi" w:cstheme="minorHAnsi"/>
          <w:sz w:val="22"/>
          <w:szCs w:val="22"/>
        </w:rPr>
        <w:t xml:space="preserve">they could </w:t>
      </w:r>
      <w:r>
        <w:rPr>
          <w:rFonts w:asciiTheme="minorHAnsi" w:hAnsiTheme="minorHAnsi" w:cstheme="minorHAnsi"/>
          <w:sz w:val="22"/>
          <w:szCs w:val="22"/>
        </w:rPr>
        <w:t xml:space="preserve">not </w:t>
      </w:r>
      <w:r w:rsidRPr="00A12F87">
        <w:rPr>
          <w:rFonts w:asciiTheme="minorHAnsi" w:hAnsiTheme="minorHAnsi" w:cstheme="minorHAnsi"/>
          <w:sz w:val="22"/>
          <w:szCs w:val="22"/>
        </w:rPr>
        <w:t>make their own life healthier</w:t>
      </w:r>
      <w:r>
        <w:rPr>
          <w:rFonts w:asciiTheme="minorHAnsi" w:hAnsiTheme="minorHAnsi" w:cstheme="minorHAnsi"/>
          <w:sz w:val="22"/>
          <w:szCs w:val="22"/>
        </w:rPr>
        <w:t>, the main reason</w:t>
      </w:r>
      <w:r w:rsidR="00E16449">
        <w:rPr>
          <w:rFonts w:asciiTheme="minorHAnsi" w:hAnsiTheme="minorHAnsi" w:cstheme="minorHAnsi"/>
          <w:sz w:val="22"/>
          <w:szCs w:val="22"/>
        </w:rPr>
        <w:t>s</w:t>
      </w:r>
      <w:r>
        <w:rPr>
          <w:rFonts w:asciiTheme="minorHAnsi" w:hAnsiTheme="minorHAnsi" w:cstheme="minorHAnsi"/>
          <w:sz w:val="22"/>
          <w:szCs w:val="22"/>
        </w:rPr>
        <w:t xml:space="preserve"> given w</w:t>
      </w:r>
      <w:r w:rsidR="00E16449">
        <w:rPr>
          <w:rFonts w:asciiTheme="minorHAnsi" w:hAnsiTheme="minorHAnsi" w:cstheme="minorHAnsi"/>
          <w:sz w:val="22"/>
          <w:szCs w:val="22"/>
        </w:rPr>
        <w:t>ere</w:t>
      </w:r>
      <w:r>
        <w:rPr>
          <w:rFonts w:asciiTheme="minorHAnsi" w:hAnsiTheme="minorHAnsi" w:cstheme="minorHAnsi"/>
          <w:sz w:val="22"/>
          <w:szCs w:val="22"/>
        </w:rPr>
        <w:t xml:space="preserve"> that the respondent already led a healthy life (65%), not wanting to make changes (19%) and </w:t>
      </w:r>
      <w:r w:rsidR="00165F51">
        <w:rPr>
          <w:rFonts w:asciiTheme="minorHAnsi" w:hAnsiTheme="minorHAnsi" w:cstheme="minorHAnsi"/>
          <w:sz w:val="22"/>
          <w:szCs w:val="22"/>
        </w:rPr>
        <w:t xml:space="preserve">stating </w:t>
      </w:r>
      <w:r>
        <w:rPr>
          <w:rFonts w:asciiTheme="minorHAnsi" w:hAnsiTheme="minorHAnsi" w:cstheme="minorHAnsi"/>
          <w:sz w:val="22"/>
          <w:szCs w:val="22"/>
        </w:rPr>
        <w:t xml:space="preserve">that it would be too difficult </w:t>
      </w:r>
      <w:r w:rsidR="00165F51">
        <w:rPr>
          <w:rFonts w:asciiTheme="minorHAnsi" w:hAnsiTheme="minorHAnsi" w:cstheme="minorHAnsi"/>
          <w:sz w:val="22"/>
          <w:szCs w:val="22"/>
        </w:rPr>
        <w:t>(16%).</w:t>
      </w:r>
    </w:p>
    <w:p w:rsidR="00692A8F" w:rsidRDefault="00692A8F" w:rsidP="00831425">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 third of respondents (34%) said that they had tried to be more physically active in the last year </w:t>
      </w:r>
      <w:r w:rsidR="00165F51">
        <w:rPr>
          <w:rFonts w:asciiTheme="minorHAnsi" w:hAnsiTheme="minorHAnsi" w:cstheme="minorHAnsi"/>
          <w:sz w:val="22"/>
          <w:szCs w:val="22"/>
        </w:rPr>
        <w:t>with</w:t>
      </w:r>
      <w:r>
        <w:rPr>
          <w:rFonts w:asciiTheme="minorHAnsi" w:hAnsiTheme="minorHAnsi" w:cstheme="minorHAnsi"/>
          <w:sz w:val="22"/>
          <w:szCs w:val="22"/>
        </w:rPr>
        <w:t xml:space="preserve"> three-fifths of these (60%) s</w:t>
      </w:r>
      <w:r w:rsidR="00165F51">
        <w:rPr>
          <w:rFonts w:asciiTheme="minorHAnsi" w:hAnsiTheme="minorHAnsi" w:cstheme="minorHAnsi"/>
          <w:sz w:val="22"/>
          <w:szCs w:val="22"/>
        </w:rPr>
        <w:t>tating</w:t>
      </w:r>
      <w:r>
        <w:rPr>
          <w:rFonts w:asciiTheme="minorHAnsi" w:hAnsiTheme="minorHAnsi" w:cstheme="minorHAnsi"/>
          <w:sz w:val="22"/>
          <w:szCs w:val="22"/>
        </w:rPr>
        <w:t xml:space="preserve"> that they had managed to maintain this.  </w:t>
      </w:r>
      <w:r w:rsidR="00DA19BD">
        <w:rPr>
          <w:rFonts w:asciiTheme="minorHAnsi" w:hAnsiTheme="minorHAnsi" w:cstheme="minorHAnsi"/>
          <w:sz w:val="22"/>
          <w:szCs w:val="22"/>
        </w:rPr>
        <w:t>S</w:t>
      </w:r>
      <w:r>
        <w:rPr>
          <w:rFonts w:asciiTheme="minorHAnsi" w:hAnsiTheme="minorHAnsi" w:cstheme="minorHAnsi"/>
          <w:sz w:val="22"/>
          <w:szCs w:val="22"/>
        </w:rPr>
        <w:t xml:space="preserve">imilar </w:t>
      </w:r>
      <w:r w:rsidR="00DA19BD">
        <w:rPr>
          <w:rFonts w:asciiTheme="minorHAnsi" w:hAnsiTheme="minorHAnsi" w:cstheme="minorHAnsi"/>
          <w:sz w:val="22"/>
          <w:szCs w:val="22"/>
        </w:rPr>
        <w:t>proportions of respondents</w:t>
      </w:r>
      <w:r w:rsidR="00165F51">
        <w:rPr>
          <w:rFonts w:asciiTheme="minorHAnsi" w:hAnsiTheme="minorHAnsi" w:cstheme="minorHAnsi"/>
          <w:sz w:val="22"/>
          <w:szCs w:val="22"/>
        </w:rPr>
        <w:t xml:space="preserve"> </w:t>
      </w:r>
      <w:r>
        <w:rPr>
          <w:rFonts w:asciiTheme="minorHAnsi" w:hAnsiTheme="minorHAnsi" w:cstheme="minorHAnsi"/>
          <w:sz w:val="22"/>
          <w:szCs w:val="22"/>
        </w:rPr>
        <w:t xml:space="preserve">had tried to eat more healthily </w:t>
      </w:r>
      <w:r w:rsidR="006C581C">
        <w:rPr>
          <w:rFonts w:asciiTheme="minorHAnsi" w:hAnsiTheme="minorHAnsi" w:cstheme="minorHAnsi"/>
          <w:sz w:val="22"/>
          <w:szCs w:val="22"/>
        </w:rPr>
        <w:t xml:space="preserve">and </w:t>
      </w:r>
      <w:r w:rsidR="00165F51">
        <w:rPr>
          <w:rFonts w:asciiTheme="minorHAnsi" w:hAnsiTheme="minorHAnsi" w:cstheme="minorHAnsi"/>
          <w:sz w:val="22"/>
          <w:szCs w:val="22"/>
        </w:rPr>
        <w:t xml:space="preserve">managed to </w:t>
      </w:r>
      <w:r w:rsidR="006C581C">
        <w:rPr>
          <w:rFonts w:asciiTheme="minorHAnsi" w:hAnsiTheme="minorHAnsi" w:cstheme="minorHAnsi"/>
          <w:sz w:val="22"/>
          <w:szCs w:val="22"/>
        </w:rPr>
        <w:t>maintain</w:t>
      </w:r>
      <w:r w:rsidR="00165F51">
        <w:rPr>
          <w:rFonts w:asciiTheme="minorHAnsi" w:hAnsiTheme="minorHAnsi" w:cstheme="minorHAnsi"/>
          <w:sz w:val="22"/>
          <w:szCs w:val="22"/>
        </w:rPr>
        <w:t xml:space="preserve"> it</w:t>
      </w:r>
      <w:r w:rsidR="006C581C">
        <w:rPr>
          <w:rFonts w:asciiTheme="minorHAnsi" w:hAnsiTheme="minorHAnsi" w:cstheme="minorHAnsi"/>
          <w:sz w:val="22"/>
          <w:szCs w:val="22"/>
        </w:rPr>
        <w:t>.</w:t>
      </w:r>
    </w:p>
    <w:p w:rsidR="006C581C" w:rsidRDefault="006C581C" w:rsidP="00831425">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Around a third of respondents (34%) said that they would like to be more physically active </w:t>
      </w:r>
      <w:r w:rsidR="00165F51">
        <w:rPr>
          <w:rFonts w:asciiTheme="minorHAnsi" w:hAnsiTheme="minorHAnsi" w:cstheme="minorHAnsi"/>
          <w:sz w:val="22"/>
          <w:szCs w:val="22"/>
        </w:rPr>
        <w:t>with over four-fifths of them</w:t>
      </w:r>
      <w:r>
        <w:rPr>
          <w:rFonts w:asciiTheme="minorHAnsi" w:hAnsiTheme="minorHAnsi" w:cstheme="minorHAnsi"/>
          <w:sz w:val="22"/>
          <w:szCs w:val="22"/>
        </w:rPr>
        <w:t xml:space="preserve"> (84%) s</w:t>
      </w:r>
      <w:r w:rsidR="00165F51">
        <w:rPr>
          <w:rFonts w:asciiTheme="minorHAnsi" w:hAnsiTheme="minorHAnsi" w:cstheme="minorHAnsi"/>
          <w:sz w:val="22"/>
          <w:szCs w:val="22"/>
        </w:rPr>
        <w:t>tating</w:t>
      </w:r>
      <w:r>
        <w:rPr>
          <w:rFonts w:asciiTheme="minorHAnsi" w:hAnsiTheme="minorHAnsi" w:cstheme="minorHAnsi"/>
          <w:sz w:val="22"/>
          <w:szCs w:val="22"/>
        </w:rPr>
        <w:t xml:space="preserve"> that they are thinking of starting this within the next six months.  Similarly 28% </w:t>
      </w:r>
      <w:r w:rsidR="00165F51">
        <w:rPr>
          <w:rFonts w:asciiTheme="minorHAnsi" w:hAnsiTheme="minorHAnsi" w:cstheme="minorHAnsi"/>
          <w:sz w:val="22"/>
          <w:szCs w:val="22"/>
        </w:rPr>
        <w:t xml:space="preserve">of respondents said they </w:t>
      </w:r>
      <w:r>
        <w:rPr>
          <w:rFonts w:asciiTheme="minorHAnsi" w:hAnsiTheme="minorHAnsi" w:cstheme="minorHAnsi"/>
          <w:sz w:val="22"/>
          <w:szCs w:val="22"/>
        </w:rPr>
        <w:t>would like to eat more healthily and 23% said they would like to control their weight.</w:t>
      </w:r>
    </w:p>
    <w:p w:rsidR="009F07B0" w:rsidRDefault="009F07B0" w:rsidP="00831425">
      <w:pPr>
        <w:tabs>
          <w:tab w:val="center" w:pos="4075"/>
        </w:tabs>
        <w:autoSpaceDE w:val="0"/>
        <w:autoSpaceDN w:val="0"/>
        <w:adjustRightInd w:val="0"/>
        <w:spacing w:after="120" w:line="288" w:lineRule="auto"/>
        <w:rPr>
          <w:rFonts w:asciiTheme="minorHAnsi" w:hAnsiTheme="minorHAnsi" w:cstheme="minorHAnsi"/>
          <w:sz w:val="22"/>
          <w:szCs w:val="22"/>
        </w:rPr>
      </w:pPr>
    </w:p>
    <w:p w:rsidR="009F07B0" w:rsidRDefault="009F07B0" w:rsidP="00831425">
      <w:pPr>
        <w:tabs>
          <w:tab w:val="center" w:pos="4075"/>
        </w:tabs>
        <w:autoSpaceDE w:val="0"/>
        <w:autoSpaceDN w:val="0"/>
        <w:adjustRightInd w:val="0"/>
        <w:spacing w:after="120" w:line="288" w:lineRule="auto"/>
        <w:rPr>
          <w:rFonts w:asciiTheme="minorHAnsi" w:hAnsiTheme="minorHAnsi" w:cstheme="minorHAnsi"/>
          <w:sz w:val="22"/>
          <w:szCs w:val="22"/>
        </w:rPr>
      </w:pPr>
    </w:p>
    <w:p w:rsidR="00E16AF0" w:rsidRPr="00740906" w:rsidRDefault="00E16AF0" w:rsidP="007A412E">
      <w:pPr>
        <w:pStyle w:val="Heading2"/>
        <w:spacing w:before="0" w:after="60"/>
        <w:rPr>
          <w:rFonts w:asciiTheme="minorHAnsi" w:hAnsiTheme="minorHAnsi" w:cstheme="minorHAnsi"/>
          <w:color w:val="009900"/>
          <w:sz w:val="24"/>
          <w:szCs w:val="24"/>
        </w:rPr>
      </w:pPr>
      <w:bookmarkStart w:id="34" w:name="_Ref381945801"/>
      <w:bookmarkStart w:id="35" w:name="OLE_LINK22"/>
      <w:bookmarkStart w:id="36" w:name="OLE_LINK23"/>
      <w:r w:rsidRPr="00740906">
        <w:rPr>
          <w:rFonts w:asciiTheme="minorHAnsi" w:hAnsiTheme="minorHAnsi" w:cstheme="minorHAnsi"/>
          <w:color w:val="009900"/>
          <w:sz w:val="24"/>
          <w:szCs w:val="24"/>
        </w:rPr>
        <w:lastRenderedPageBreak/>
        <w:t>Smoking</w:t>
      </w:r>
      <w:bookmarkEnd w:id="34"/>
    </w:p>
    <w:p w:rsidR="00E16AF0" w:rsidRPr="00740906" w:rsidRDefault="00E16AF0" w:rsidP="00E16AF0">
      <w:pPr>
        <w:tabs>
          <w:tab w:val="left" w:pos="-180"/>
        </w:tabs>
        <w:suppressAutoHyphens/>
        <w:spacing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Background</w:t>
      </w:r>
    </w:p>
    <w:bookmarkEnd w:id="35"/>
    <w:bookmarkEnd w:id="36"/>
    <w:p w:rsidR="00E16AF0" w:rsidRDefault="002226D2" w:rsidP="00831425">
      <w:pPr>
        <w:tabs>
          <w:tab w:val="left" w:pos="-180"/>
        </w:tabs>
        <w:suppressAutoHyphens/>
        <w:spacing w:after="120" w:line="288" w:lineRule="auto"/>
        <w:rPr>
          <w:rFonts w:asciiTheme="minorHAnsi" w:hAnsiTheme="minorHAnsi" w:cstheme="minorHAnsi"/>
          <w:sz w:val="22"/>
          <w:szCs w:val="22"/>
        </w:rPr>
      </w:pPr>
      <w:r w:rsidRPr="00831425">
        <w:rPr>
          <w:rFonts w:asciiTheme="minorHAnsi" w:hAnsiTheme="minorHAnsi" w:cstheme="minorHAnsi"/>
          <w:sz w:val="22"/>
          <w:szCs w:val="22"/>
        </w:rPr>
        <w:t xml:space="preserve">The cost of smoking to our society is high and the hospital cost of treating smoke-related illnesses in Northern Ireland is in the region of £119m each year.  </w:t>
      </w:r>
      <w:r w:rsidR="00E16AF0">
        <w:rPr>
          <w:rFonts w:asciiTheme="minorHAnsi" w:hAnsiTheme="minorHAnsi" w:cstheme="minorHAnsi"/>
          <w:sz w:val="22"/>
          <w:szCs w:val="22"/>
        </w:rPr>
        <w:t>The ten</w:t>
      </w:r>
      <w:r>
        <w:rPr>
          <w:rFonts w:asciiTheme="minorHAnsi" w:hAnsiTheme="minorHAnsi" w:cstheme="minorHAnsi"/>
          <w:sz w:val="22"/>
          <w:szCs w:val="22"/>
        </w:rPr>
        <w:t>-</w:t>
      </w:r>
      <w:r w:rsidR="00E16AF0">
        <w:rPr>
          <w:rFonts w:asciiTheme="minorHAnsi" w:hAnsiTheme="minorHAnsi" w:cstheme="minorHAnsi"/>
          <w:sz w:val="22"/>
          <w:szCs w:val="22"/>
        </w:rPr>
        <w:t xml:space="preserve">year Tobacco Control Strategy for Northern Ireland aims to </w:t>
      </w:r>
      <w:r w:rsidRPr="00831425">
        <w:rPr>
          <w:rFonts w:asciiTheme="minorHAnsi" w:hAnsiTheme="minorHAnsi" w:cstheme="minorHAnsi"/>
          <w:sz w:val="22"/>
          <w:szCs w:val="22"/>
        </w:rPr>
        <w:t xml:space="preserve">create a tobacco-free society which </w:t>
      </w:r>
      <w:r w:rsidR="00E16AF0">
        <w:rPr>
          <w:rFonts w:asciiTheme="minorHAnsi" w:hAnsiTheme="minorHAnsi" w:cstheme="minorHAnsi"/>
          <w:sz w:val="22"/>
          <w:szCs w:val="22"/>
        </w:rPr>
        <w:t>see</w:t>
      </w:r>
      <w:r>
        <w:rPr>
          <w:rFonts w:asciiTheme="minorHAnsi" w:hAnsiTheme="minorHAnsi" w:cstheme="minorHAnsi"/>
          <w:sz w:val="22"/>
          <w:szCs w:val="22"/>
        </w:rPr>
        <w:t>s</w:t>
      </w:r>
      <w:r w:rsidR="00E16AF0">
        <w:rPr>
          <w:rFonts w:asciiTheme="minorHAnsi" w:hAnsiTheme="minorHAnsi" w:cstheme="minorHAnsi"/>
          <w:sz w:val="22"/>
          <w:szCs w:val="22"/>
        </w:rPr>
        <w:t xml:space="preserve"> fewer people starting to smoke, more smokers quitting as well as protecting people from tobacco smoke.  The report recognises that there is a strong relationship between smoking and inequalities, with more people dying from smoking-related illnesses in disadvantaged areas of Northern Ireland than affluent ones.  This section looks at smoking prevalence in Northern Ireland, smoking in the home and car and attempts made to quit smoking.</w:t>
      </w:r>
    </w:p>
    <w:p w:rsidR="00E16AF0" w:rsidRPr="00740906" w:rsidRDefault="00E16AF0" w:rsidP="00453262">
      <w:pPr>
        <w:tabs>
          <w:tab w:val="left" w:pos="-180"/>
        </w:tabs>
        <w:suppressAutoHyphens/>
        <w:spacing w:before="120"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 xml:space="preserve">Smoking Prevalence </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one-quarter of respondents were current smokers (24%), 25% of males and 23% of females.  Females were more likely to never have smoked (53%) than males (43%).</w:t>
      </w:r>
      <w:r w:rsidRPr="002653B6">
        <w:rPr>
          <w:rFonts w:asciiTheme="minorHAnsi" w:hAnsiTheme="minorHAnsi" w:cstheme="minorHAnsi"/>
          <w:sz w:val="22"/>
          <w:szCs w:val="22"/>
        </w:rPr>
        <w:t xml:space="preserve"> </w:t>
      </w:r>
      <w:r>
        <w:rPr>
          <w:rFonts w:asciiTheme="minorHAnsi" w:hAnsiTheme="minorHAnsi" w:cstheme="minorHAnsi"/>
          <w:sz w:val="22"/>
          <w:szCs w:val="22"/>
        </w:rPr>
        <w:t xml:space="preserve"> Over two-thirds of those who used to smoke </w:t>
      </w:r>
      <w:r w:rsidR="00DA19BD">
        <w:rPr>
          <w:rFonts w:asciiTheme="minorHAnsi" w:hAnsiTheme="minorHAnsi" w:cstheme="minorHAnsi"/>
          <w:sz w:val="22"/>
          <w:szCs w:val="22"/>
        </w:rPr>
        <w:t>(70%) smoked on a regular basis</w:t>
      </w:r>
      <w:r>
        <w:rPr>
          <w:rFonts w:asciiTheme="minorHAnsi" w:hAnsiTheme="minorHAnsi" w:cstheme="minorHAnsi"/>
          <w:sz w:val="22"/>
          <w:szCs w:val="22"/>
        </w:rPr>
        <w:t>.</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30720E">
        <w:rPr>
          <w:rFonts w:asciiTheme="minorHAnsi" w:hAnsiTheme="minorHAnsi" w:cstheme="minorHAnsi"/>
          <w:noProof/>
          <w:sz w:val="22"/>
          <w:szCs w:val="22"/>
          <w:lang w:val="en-IE" w:eastAsia="en-IE"/>
        </w:rPr>
        <w:drawing>
          <wp:inline distT="0" distB="0" distL="0" distR="0">
            <wp:extent cx="4324350" cy="2520000"/>
            <wp:effectExtent l="19050" t="0" r="0" b="0"/>
            <wp:docPr id="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 xml:space="preserve">The 25-34 age-group had the highest proportion of current smokers for both males and females (both 32%), while the lowest was in the 75 and over age-group.  </w:t>
      </w:r>
      <w:r w:rsidR="007D2F1D">
        <w:rPr>
          <w:rFonts w:asciiTheme="minorHAnsi" w:hAnsiTheme="minorHAnsi" w:cstheme="minorHAnsi"/>
          <w:sz w:val="22"/>
          <w:szCs w:val="22"/>
        </w:rPr>
        <w:t xml:space="preserve"> </w:t>
      </w:r>
      <w:r>
        <w:rPr>
          <w:rFonts w:asciiTheme="minorHAnsi" w:hAnsiTheme="minorHAnsi" w:cstheme="minorHAnsi"/>
          <w:sz w:val="22"/>
          <w:szCs w:val="22"/>
        </w:rPr>
        <w:t>Females were more likely than males to have never smoked for all age-groups.  As might be expected, a larger proportion of males in the older age-groups had given up smoking, with 57% of those aged 75 and over and 47% of those aged 65 to 74 stating that they used to smoke (to some extent).</w:t>
      </w:r>
      <w:r w:rsidRPr="00FE4165">
        <w:rPr>
          <w:rFonts w:asciiTheme="minorHAnsi" w:hAnsiTheme="minorHAnsi" w:cstheme="minorHAnsi"/>
          <w:sz w:val="22"/>
          <w:szCs w:val="22"/>
        </w:rPr>
        <w:t xml:space="preserve"> </w:t>
      </w:r>
      <w:r>
        <w:rPr>
          <w:rFonts w:asciiTheme="minorHAnsi" w:hAnsiTheme="minorHAnsi" w:cstheme="minorHAnsi"/>
          <w:sz w:val="22"/>
          <w:szCs w:val="22"/>
        </w:rPr>
        <w:t xml:space="preserve"> This compares with a fifth of 16 to 24 year old males.</w:t>
      </w:r>
    </w:p>
    <w:p w:rsidR="00E16AF0" w:rsidRDefault="00DA19BD" w:rsidP="00E16AF0">
      <w:pPr>
        <w:tabs>
          <w:tab w:val="center" w:pos="4075"/>
        </w:tabs>
        <w:autoSpaceDE w:val="0"/>
        <w:autoSpaceDN w:val="0"/>
        <w:adjustRightInd w:val="0"/>
        <w:rPr>
          <w:rFonts w:asciiTheme="minorHAnsi" w:hAnsiTheme="minorHAnsi" w:cstheme="minorHAnsi"/>
          <w:sz w:val="22"/>
          <w:szCs w:val="22"/>
        </w:rPr>
      </w:pPr>
      <w:r w:rsidRPr="00DA19BD">
        <w:rPr>
          <w:rFonts w:asciiTheme="minorHAnsi" w:hAnsiTheme="minorHAnsi" w:cstheme="minorHAnsi"/>
          <w:noProof/>
          <w:sz w:val="22"/>
          <w:szCs w:val="22"/>
          <w:lang w:val="en-IE" w:eastAsia="en-IE"/>
        </w:rPr>
        <w:drawing>
          <wp:inline distT="0" distB="0" distL="0" distR="0">
            <wp:extent cx="4324350" cy="2448000"/>
            <wp:effectExtent l="19050" t="0" r="0" b="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DA19BD">
        <w:rPr>
          <w:rFonts w:asciiTheme="minorHAnsi" w:hAnsiTheme="minorHAnsi" w:cstheme="minorHAnsi"/>
          <w:noProof/>
          <w:sz w:val="22"/>
          <w:szCs w:val="22"/>
          <w:lang w:val="en-IE" w:eastAsia="en-IE"/>
        </w:rPr>
        <w:drawing>
          <wp:inline distT="0" distB="0" distL="0" distR="0">
            <wp:extent cx="4324350" cy="2448000"/>
            <wp:effectExtent l="19050" t="0" r="0" b="0"/>
            <wp:docPr id="5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6AF0" w:rsidRDefault="00E16AF0" w:rsidP="0054120E">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lastRenderedPageBreak/>
        <w:t>More than one in four male respondents in the Western Trust area were current smokers (29%) compared with around a fifth in the Northern Trust (22%).   A fifth of female respondents in the Southern Trust area</w:t>
      </w:r>
      <w:r w:rsidRPr="008D494D">
        <w:rPr>
          <w:rFonts w:asciiTheme="minorHAnsi" w:hAnsiTheme="minorHAnsi" w:cstheme="minorHAnsi"/>
          <w:sz w:val="22"/>
          <w:szCs w:val="22"/>
        </w:rPr>
        <w:t xml:space="preserve"> </w:t>
      </w:r>
      <w:r>
        <w:rPr>
          <w:rFonts w:asciiTheme="minorHAnsi" w:hAnsiTheme="minorHAnsi" w:cstheme="minorHAnsi"/>
          <w:sz w:val="22"/>
          <w:szCs w:val="22"/>
        </w:rPr>
        <w:t>(20%) were current smokers while three-fifths of females in both the Northern (58%) and Southern (56%) Trust areas had never smoked.</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sidRPr="00CC047E">
        <w:rPr>
          <w:rFonts w:asciiTheme="minorHAnsi" w:hAnsiTheme="minorHAnsi" w:cstheme="minorHAnsi"/>
          <w:noProof/>
          <w:sz w:val="22"/>
          <w:szCs w:val="22"/>
          <w:lang w:val="en-IE" w:eastAsia="en-IE"/>
        </w:rPr>
        <w:drawing>
          <wp:inline distT="0" distB="0" distL="0" distR="0">
            <wp:extent cx="4324350" cy="2520000"/>
            <wp:effectExtent l="0" t="0" r="0" b="0"/>
            <wp:docPr id="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16AF0" w:rsidRPr="00F20701" w:rsidRDefault="00E16AF0" w:rsidP="0054120E">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Male (22%) and female respondents (16%)</w:t>
      </w:r>
      <w:r w:rsidRPr="00F20701">
        <w:rPr>
          <w:rFonts w:asciiTheme="minorHAnsi" w:hAnsiTheme="minorHAnsi" w:cstheme="minorHAnsi"/>
          <w:sz w:val="22"/>
          <w:szCs w:val="22"/>
        </w:rPr>
        <w:t xml:space="preserve"> living in rural locations were less likely to be current smokers than those in urban locations </w:t>
      </w:r>
      <w:bookmarkStart w:id="37" w:name="OLE_LINK1"/>
      <w:bookmarkStart w:id="38" w:name="OLE_LINK2"/>
      <w:r>
        <w:rPr>
          <w:rFonts w:asciiTheme="minorHAnsi" w:hAnsiTheme="minorHAnsi" w:cstheme="minorHAnsi"/>
          <w:sz w:val="22"/>
          <w:szCs w:val="22"/>
        </w:rPr>
        <w:t>(</w:t>
      </w:r>
      <w:r w:rsidRPr="00F20701">
        <w:rPr>
          <w:rFonts w:asciiTheme="minorHAnsi" w:hAnsiTheme="minorHAnsi" w:cstheme="minorHAnsi"/>
          <w:sz w:val="22"/>
          <w:szCs w:val="22"/>
        </w:rPr>
        <w:t>27% of both males and females</w:t>
      </w:r>
      <w:r>
        <w:rPr>
          <w:rFonts w:asciiTheme="minorHAnsi" w:hAnsiTheme="minorHAnsi" w:cstheme="minorHAnsi"/>
          <w:sz w:val="22"/>
          <w:szCs w:val="22"/>
        </w:rPr>
        <w:t xml:space="preserve">).  </w:t>
      </w:r>
      <w:bookmarkEnd w:id="37"/>
      <w:bookmarkEnd w:id="38"/>
      <w:r>
        <w:rPr>
          <w:rFonts w:asciiTheme="minorHAnsi" w:hAnsiTheme="minorHAnsi" w:cstheme="minorHAnsi"/>
          <w:sz w:val="22"/>
          <w:szCs w:val="22"/>
        </w:rPr>
        <w:t>Almost two-thirds of females (63%) living in rural locations had never smoked compared with 48</w:t>
      </w:r>
      <w:r w:rsidRPr="00F20701">
        <w:rPr>
          <w:rFonts w:asciiTheme="minorHAnsi" w:hAnsiTheme="minorHAnsi" w:cstheme="minorHAnsi"/>
          <w:sz w:val="22"/>
          <w:szCs w:val="22"/>
        </w:rPr>
        <w:t xml:space="preserve">% </w:t>
      </w:r>
      <w:r>
        <w:rPr>
          <w:rFonts w:asciiTheme="minorHAnsi" w:hAnsiTheme="minorHAnsi" w:cstheme="minorHAnsi"/>
          <w:sz w:val="22"/>
          <w:szCs w:val="22"/>
        </w:rPr>
        <w:t>in urban locations.</w:t>
      </w:r>
    </w:p>
    <w:p w:rsidR="0054120E" w:rsidRDefault="00F80DFF" w:rsidP="0054120E">
      <w:pPr>
        <w:tabs>
          <w:tab w:val="left" w:pos="-180"/>
        </w:tabs>
        <w:suppressAutoHyphens/>
        <w:spacing w:before="240" w:after="240" w:line="288" w:lineRule="auto"/>
        <w:rPr>
          <w:rFonts w:asciiTheme="minorHAnsi" w:hAnsiTheme="minorHAnsi" w:cstheme="minorHAnsi"/>
          <w:sz w:val="22"/>
          <w:szCs w:val="22"/>
        </w:rPr>
      </w:pPr>
      <w:r w:rsidRPr="00F80DFF">
        <w:rPr>
          <w:rFonts w:asciiTheme="minorHAnsi" w:hAnsiTheme="minorHAnsi" w:cstheme="minorHAnsi"/>
          <w:noProof/>
          <w:sz w:val="22"/>
          <w:szCs w:val="22"/>
          <w:lang w:val="en-IE" w:eastAsia="en-IE"/>
        </w:rPr>
        <w:lastRenderedPageBreak/>
        <w:drawing>
          <wp:inline distT="0" distB="0" distL="0" distR="0">
            <wp:extent cx="4324350" cy="2520000"/>
            <wp:effectExtent l="0" t="0" r="0" b="0"/>
            <wp:docPr id="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16AF0" w:rsidRDefault="00E16AF0" w:rsidP="0054120E">
      <w:pPr>
        <w:tabs>
          <w:tab w:val="left" w:pos="-180"/>
        </w:tabs>
        <w:suppressAutoHyphens/>
        <w:spacing w:before="240" w:after="240" w:line="288" w:lineRule="auto"/>
        <w:rPr>
          <w:rFonts w:asciiTheme="minorHAnsi" w:hAnsiTheme="minorHAnsi" w:cstheme="minorHAnsi"/>
          <w:sz w:val="22"/>
          <w:szCs w:val="22"/>
        </w:rPr>
      </w:pPr>
      <w:r>
        <w:rPr>
          <w:rFonts w:asciiTheme="minorHAnsi" w:hAnsiTheme="minorHAnsi" w:cstheme="minorHAnsi"/>
          <w:sz w:val="22"/>
          <w:szCs w:val="22"/>
        </w:rPr>
        <w:t>Almost two-fifths of both males and females (37%) in the most deprived areas</w:t>
      </w:r>
      <w:r w:rsidRPr="00521D47">
        <w:rPr>
          <w:rFonts w:asciiTheme="minorHAnsi" w:hAnsiTheme="minorHAnsi" w:cstheme="minorHAnsi"/>
          <w:sz w:val="22"/>
          <w:szCs w:val="22"/>
        </w:rPr>
        <w:t xml:space="preserve"> </w:t>
      </w:r>
      <w:r>
        <w:rPr>
          <w:rFonts w:asciiTheme="minorHAnsi" w:hAnsiTheme="minorHAnsi" w:cstheme="minorHAnsi"/>
          <w:sz w:val="22"/>
          <w:szCs w:val="22"/>
        </w:rPr>
        <w:t>were current smokers. This compared with 13% of males and 12% of females in the least deprived areas.  Those in the least deprived areas were most likely to have never smoked (48% of males and 62% of females).</w:t>
      </w:r>
    </w:p>
    <w:p w:rsidR="00E16AF0" w:rsidRDefault="00F80DFF" w:rsidP="00E16AF0">
      <w:pPr>
        <w:tabs>
          <w:tab w:val="center" w:pos="4075"/>
        </w:tabs>
        <w:autoSpaceDE w:val="0"/>
        <w:autoSpaceDN w:val="0"/>
        <w:adjustRightInd w:val="0"/>
        <w:rPr>
          <w:rFonts w:asciiTheme="minorHAnsi" w:hAnsiTheme="minorHAnsi" w:cstheme="minorHAnsi"/>
          <w:sz w:val="22"/>
          <w:szCs w:val="22"/>
        </w:rPr>
      </w:pPr>
      <w:r w:rsidRPr="00F80DFF">
        <w:rPr>
          <w:rFonts w:asciiTheme="minorHAnsi" w:hAnsiTheme="minorHAnsi" w:cstheme="minorHAnsi"/>
          <w:noProof/>
          <w:sz w:val="22"/>
          <w:szCs w:val="22"/>
          <w:lang w:val="en-IE" w:eastAsia="en-IE"/>
        </w:rPr>
        <w:drawing>
          <wp:inline distT="0" distB="0" distL="0" distR="0">
            <wp:extent cx="4324350" cy="2520000"/>
            <wp:effectExtent l="0" t="0" r="0" b="0"/>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16AF0" w:rsidRPr="00740906" w:rsidRDefault="00E16AF0" w:rsidP="0054120E">
      <w:pPr>
        <w:tabs>
          <w:tab w:val="left" w:pos="-180"/>
        </w:tabs>
        <w:suppressAutoHyphens/>
        <w:spacing w:before="12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lastRenderedPageBreak/>
        <w:t>Age First Started Smoking</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More than two-thirds of all current smokers (70%) stated that they had started smoking before they reached the age of 18.</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781785">
        <w:rPr>
          <w:rFonts w:asciiTheme="minorHAnsi" w:hAnsiTheme="minorHAnsi" w:cstheme="minorHAnsi"/>
          <w:noProof/>
          <w:sz w:val="22"/>
          <w:szCs w:val="22"/>
          <w:lang w:val="en-IE" w:eastAsia="en-IE"/>
        </w:rPr>
        <w:drawing>
          <wp:inline distT="0" distB="0" distL="0" distR="0">
            <wp:extent cx="4324350" cy="2520000"/>
            <wp:effectExtent l="0" t="0" r="0" b="0"/>
            <wp:docPr id="9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6AF0" w:rsidRPr="00740906" w:rsidRDefault="00E16AF0" w:rsidP="0054120E">
      <w:pPr>
        <w:tabs>
          <w:tab w:val="left" w:pos="-180"/>
        </w:tabs>
        <w:suppressAutoHyphens/>
        <w:spacing w:before="24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Type of Cigarettes Smoked</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Four-fifths of all smokers (79%) smoked filter-tipped cigarettes.  Males were more likely than females to smoke plain, un-tipped or hand-rolled cigarettes (28%) than females (15%).  Use of plain, un-tipped or hand-rolled cigarettes increased with the number of cigarettes smoked daily with 13% of those who smoked five cigarettes or less per day compared with 36% of those who smoked more than twenty per day on weekdays.</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Around two-thirds of smokers smoked the same number of cigarettes per day at weekends as on weekdays (65%), while 28% smoked more at weekends.</w:t>
      </w:r>
      <w:r w:rsidR="00D24EE6">
        <w:rPr>
          <w:rFonts w:asciiTheme="minorHAnsi" w:hAnsiTheme="minorHAnsi" w:cstheme="minorHAnsi"/>
          <w:sz w:val="22"/>
          <w:szCs w:val="22"/>
        </w:rPr>
        <w:t xml:space="preserve">  Half of all smokers (50%) smoked 11 or more cigarettes on a weekday.  Three-fifths of smokers (59%) smoked 11 or more cigarettes on a weekend day. </w:t>
      </w:r>
    </w:p>
    <w:p w:rsidR="0054120E" w:rsidRDefault="0054120E" w:rsidP="0054120E">
      <w:pPr>
        <w:tabs>
          <w:tab w:val="left" w:pos="-180"/>
        </w:tabs>
        <w:suppressAutoHyphens/>
        <w:spacing w:before="120" w:after="120"/>
        <w:rPr>
          <w:rFonts w:asciiTheme="minorHAnsi" w:hAnsiTheme="minorHAnsi" w:cstheme="minorHAnsi"/>
          <w:b/>
          <w:color w:val="009900"/>
          <w:sz w:val="22"/>
          <w:szCs w:val="22"/>
        </w:rPr>
      </w:pPr>
    </w:p>
    <w:p w:rsidR="00E16AF0" w:rsidRPr="00740906" w:rsidRDefault="00E16AF0" w:rsidP="0054120E">
      <w:pPr>
        <w:tabs>
          <w:tab w:val="left" w:pos="-180"/>
        </w:tabs>
        <w:suppressAutoHyphens/>
        <w:spacing w:before="12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lastRenderedPageBreak/>
        <w:t>Smoking in the Home</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Smoking was not allowed in the homes of almost four-fifths of respondents (78%), while 10% allowed smoking anywhere in the home.</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More than two-thirds of respondents (70%) in the Western Trust area stated that smoking was not allowed in their house.  This compared with 82% of respondents in the Southern Trust area.</w:t>
      </w:r>
    </w:p>
    <w:p w:rsidR="00E16AF0" w:rsidRDefault="00E16AF0" w:rsidP="00F450CB">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Those in the least deprived areas (88%) were noticeably more likely to not allow smoking in their home than those in the most deprived areas (65%).</w:t>
      </w:r>
    </w:p>
    <w:p w:rsidR="00E16AF0" w:rsidRDefault="00E16AF0" w:rsidP="00E16AF0">
      <w:pPr>
        <w:tabs>
          <w:tab w:val="center" w:pos="4075"/>
        </w:tabs>
        <w:autoSpaceDE w:val="0"/>
        <w:autoSpaceDN w:val="0"/>
        <w:adjustRightInd w:val="0"/>
        <w:rPr>
          <w:rFonts w:asciiTheme="minorHAnsi" w:hAnsiTheme="minorHAnsi" w:cstheme="minorHAnsi"/>
          <w:b/>
          <w:color w:val="4F81BD" w:themeColor="accent1"/>
          <w:sz w:val="22"/>
          <w:szCs w:val="22"/>
        </w:rPr>
      </w:pPr>
      <w:r w:rsidRPr="005D60A8">
        <w:rPr>
          <w:rFonts w:asciiTheme="minorHAnsi" w:hAnsiTheme="minorHAnsi" w:cstheme="minorHAnsi"/>
          <w:b/>
          <w:noProof/>
          <w:color w:val="4F81BD" w:themeColor="accent1"/>
          <w:sz w:val="22"/>
          <w:szCs w:val="22"/>
          <w:lang w:val="en-IE" w:eastAsia="en-IE"/>
        </w:rPr>
        <w:drawing>
          <wp:inline distT="0" distB="0" distL="0" distR="0">
            <wp:extent cx="4324350" cy="2592000"/>
            <wp:effectExtent l="19050" t="0" r="0" b="0"/>
            <wp:docPr id="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6AF0" w:rsidRDefault="00E16AF0" w:rsidP="00F450CB">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Respondents living in households with children (85%) were more likely to not allow smoking in their home than households with no children (74%).  Those in the least deprived areas who lived with children were most likely to not allow smoking in their home (93%), while this was true for 71% of homes with children in the most deprived areas.</w:t>
      </w:r>
    </w:p>
    <w:p w:rsidR="007F7D33" w:rsidRDefault="007F7D33" w:rsidP="00F450CB">
      <w:pPr>
        <w:tabs>
          <w:tab w:val="left" w:pos="-180"/>
        </w:tabs>
        <w:suppressAutoHyphens/>
        <w:spacing w:before="240" w:after="60"/>
        <w:rPr>
          <w:rFonts w:asciiTheme="minorHAnsi" w:hAnsiTheme="minorHAnsi" w:cstheme="minorHAnsi"/>
          <w:b/>
          <w:color w:val="009900"/>
          <w:sz w:val="22"/>
          <w:szCs w:val="22"/>
        </w:rPr>
      </w:pPr>
    </w:p>
    <w:p w:rsidR="007F7D33" w:rsidRDefault="007F7D33" w:rsidP="00F450CB">
      <w:pPr>
        <w:tabs>
          <w:tab w:val="left" w:pos="-180"/>
        </w:tabs>
        <w:suppressAutoHyphens/>
        <w:spacing w:before="240" w:after="60"/>
        <w:rPr>
          <w:rFonts w:asciiTheme="minorHAnsi" w:hAnsiTheme="minorHAnsi" w:cstheme="minorHAnsi"/>
          <w:b/>
          <w:color w:val="009900"/>
          <w:sz w:val="22"/>
          <w:szCs w:val="22"/>
        </w:rPr>
      </w:pPr>
    </w:p>
    <w:p w:rsidR="00E16AF0" w:rsidRPr="00740906" w:rsidRDefault="00E16AF0" w:rsidP="00F450CB">
      <w:pPr>
        <w:tabs>
          <w:tab w:val="left" w:pos="-180"/>
        </w:tabs>
        <w:suppressAutoHyphens/>
        <w:spacing w:before="240"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lastRenderedPageBreak/>
        <w:t>Smoking in the Family Car</w:t>
      </w:r>
    </w:p>
    <w:p w:rsidR="00E16AF0" w:rsidRDefault="00E16AF0" w:rsidP="0083142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Of those respondents who had a family car, 84% did not allow smoking in their car while a further 2% did not allow smoking while children were travelling in the car.  Those living in the most deprived areas (9%) were three times </w:t>
      </w:r>
      <w:r w:rsidR="00577EB9">
        <w:rPr>
          <w:rFonts w:asciiTheme="minorHAnsi" w:hAnsiTheme="minorHAnsi" w:cstheme="minorHAnsi"/>
          <w:sz w:val="22"/>
          <w:szCs w:val="22"/>
        </w:rPr>
        <w:t>as</w:t>
      </w:r>
      <w:r>
        <w:rPr>
          <w:rFonts w:asciiTheme="minorHAnsi" w:hAnsiTheme="minorHAnsi" w:cstheme="minorHAnsi"/>
          <w:sz w:val="22"/>
          <w:szCs w:val="22"/>
        </w:rPr>
        <w:t xml:space="preserve"> likely to allow smoking in their car than those in the least deprived areas (3%).</w:t>
      </w:r>
    </w:p>
    <w:p w:rsidR="00E16AF0" w:rsidRPr="00740906" w:rsidRDefault="00E16AF0" w:rsidP="00F450CB">
      <w:pPr>
        <w:tabs>
          <w:tab w:val="left" w:pos="-180"/>
        </w:tabs>
        <w:suppressAutoHyphens/>
        <w:spacing w:before="24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Attempts to Stop Smoking</w:t>
      </w:r>
    </w:p>
    <w:p w:rsidR="00E16AF0" w:rsidRDefault="00E55B55"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Four-fifths of current smokers</w:t>
      </w:r>
      <w:r w:rsidR="00E16AF0">
        <w:rPr>
          <w:rFonts w:asciiTheme="minorHAnsi" w:hAnsiTheme="minorHAnsi" w:cstheme="minorHAnsi"/>
          <w:sz w:val="22"/>
          <w:szCs w:val="22"/>
        </w:rPr>
        <w:t xml:space="preserve"> said that they had made at least one attempt to stop smoking (81%).  This was true for both males and females. </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Less than three-quarters of smokers in the Southern Trust area (73%) had tried to stop, compared with 85% in the South Eastern Trust area.   Those in the 35 to 44 age group (86%) were the most likely to have tried to quit smoking, while just 58% of those aged 75 and over had tried to stop smoking.</w:t>
      </w:r>
      <w:r w:rsidRPr="00586286">
        <w:rPr>
          <w:rFonts w:asciiTheme="minorHAnsi" w:hAnsiTheme="minorHAnsi" w:cstheme="minorHAnsi"/>
          <w:sz w:val="22"/>
          <w:szCs w:val="22"/>
        </w:rPr>
        <w:t xml:space="preserve"> </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CF0C9C">
        <w:rPr>
          <w:rFonts w:asciiTheme="minorHAnsi" w:hAnsiTheme="minorHAnsi" w:cstheme="minorHAnsi"/>
          <w:noProof/>
          <w:sz w:val="22"/>
          <w:szCs w:val="22"/>
          <w:lang w:val="en-IE" w:eastAsia="en-IE"/>
        </w:rPr>
        <w:drawing>
          <wp:inline distT="0" distB="0" distL="0" distR="0">
            <wp:extent cx="4324350" cy="2592000"/>
            <wp:effectExtent l="19050" t="0" r="0" b="0"/>
            <wp:docPr id="9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53262" w:rsidRDefault="00453262" w:rsidP="00E16AF0">
      <w:pPr>
        <w:tabs>
          <w:tab w:val="left" w:pos="-180"/>
        </w:tabs>
        <w:suppressAutoHyphens/>
        <w:spacing w:after="120"/>
        <w:rPr>
          <w:rFonts w:asciiTheme="minorHAnsi" w:hAnsiTheme="minorHAnsi" w:cstheme="minorHAnsi"/>
          <w:b/>
          <w:color w:val="4F81BD" w:themeColor="accent1"/>
          <w:sz w:val="24"/>
          <w:szCs w:val="24"/>
        </w:rPr>
      </w:pPr>
    </w:p>
    <w:p w:rsidR="007F7D33" w:rsidRDefault="007F7D33" w:rsidP="00E16AF0">
      <w:pPr>
        <w:tabs>
          <w:tab w:val="left" w:pos="-180"/>
        </w:tabs>
        <w:suppressAutoHyphens/>
        <w:spacing w:after="120"/>
        <w:rPr>
          <w:rFonts w:asciiTheme="minorHAnsi" w:hAnsiTheme="minorHAnsi" w:cstheme="minorHAnsi"/>
          <w:b/>
          <w:color w:val="4F81BD" w:themeColor="accent1"/>
          <w:sz w:val="24"/>
          <w:szCs w:val="24"/>
        </w:rPr>
      </w:pPr>
    </w:p>
    <w:p w:rsidR="007F7D33" w:rsidRDefault="007F7D33" w:rsidP="00E16AF0">
      <w:pPr>
        <w:tabs>
          <w:tab w:val="left" w:pos="-180"/>
        </w:tabs>
        <w:suppressAutoHyphens/>
        <w:spacing w:after="120"/>
        <w:rPr>
          <w:rFonts w:asciiTheme="minorHAnsi" w:hAnsiTheme="minorHAnsi" w:cstheme="minorHAnsi"/>
          <w:b/>
          <w:color w:val="4F81BD" w:themeColor="accent1"/>
          <w:sz w:val="24"/>
          <w:szCs w:val="24"/>
        </w:rPr>
      </w:pPr>
    </w:p>
    <w:p w:rsidR="00E16AF0" w:rsidRPr="00740906" w:rsidRDefault="00E16AF0" w:rsidP="00F450CB">
      <w:pPr>
        <w:pStyle w:val="Heading2"/>
        <w:spacing w:before="0" w:after="120"/>
        <w:rPr>
          <w:rFonts w:asciiTheme="minorHAnsi" w:hAnsiTheme="minorHAnsi" w:cstheme="minorHAnsi"/>
          <w:color w:val="009900"/>
          <w:sz w:val="24"/>
          <w:szCs w:val="24"/>
        </w:rPr>
      </w:pPr>
      <w:bookmarkStart w:id="39" w:name="_Ref381945808"/>
      <w:r w:rsidRPr="00740906">
        <w:rPr>
          <w:rFonts w:asciiTheme="minorHAnsi" w:hAnsiTheme="minorHAnsi" w:cstheme="minorHAnsi"/>
          <w:color w:val="009900"/>
          <w:sz w:val="24"/>
          <w:szCs w:val="24"/>
        </w:rPr>
        <w:lastRenderedPageBreak/>
        <w:t>Alcohol</w:t>
      </w:r>
      <w:bookmarkEnd w:id="39"/>
    </w:p>
    <w:p w:rsidR="00E16AF0" w:rsidRPr="00740906" w:rsidRDefault="00E16AF0" w:rsidP="00F450CB">
      <w:pPr>
        <w:tabs>
          <w:tab w:val="left" w:pos="-180"/>
        </w:tabs>
        <w:suppressAutoHyphens/>
        <w:spacing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Background</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New Strategic Direction for Alcohol and Drugs (Phase 2 – 2011-16) documents the problems of alcohol abuse and the need to monitor drinking prevalence.  In light of this, </w:t>
      </w:r>
      <w:r w:rsidR="00577EB9">
        <w:rPr>
          <w:rFonts w:asciiTheme="minorHAnsi" w:hAnsiTheme="minorHAnsi" w:cstheme="minorHAnsi"/>
          <w:sz w:val="22"/>
          <w:szCs w:val="22"/>
        </w:rPr>
        <w:t xml:space="preserve">a number of </w:t>
      </w:r>
      <w:r>
        <w:rPr>
          <w:rFonts w:asciiTheme="minorHAnsi" w:hAnsiTheme="minorHAnsi" w:cstheme="minorHAnsi"/>
          <w:sz w:val="22"/>
          <w:szCs w:val="22"/>
        </w:rPr>
        <w:t>questions on alcohol consumption were asked to those aged 18 and over in this survey.</w:t>
      </w:r>
      <w:r w:rsidR="002226D2">
        <w:rPr>
          <w:rFonts w:asciiTheme="minorHAnsi" w:hAnsiTheme="minorHAnsi" w:cstheme="minorHAnsi"/>
          <w:sz w:val="22"/>
          <w:szCs w:val="22"/>
        </w:rPr>
        <w:t xml:space="preserve"> </w:t>
      </w:r>
    </w:p>
    <w:p w:rsidR="007F7D33" w:rsidRDefault="007F7D33" w:rsidP="00D24EE6">
      <w:pPr>
        <w:tabs>
          <w:tab w:val="left" w:pos="-180"/>
        </w:tabs>
        <w:suppressAutoHyphens/>
        <w:spacing w:before="120" w:after="60"/>
        <w:rPr>
          <w:rFonts w:asciiTheme="minorHAnsi" w:hAnsiTheme="minorHAnsi" w:cstheme="minorHAnsi"/>
          <w:b/>
          <w:color w:val="009900"/>
          <w:sz w:val="22"/>
          <w:szCs w:val="22"/>
        </w:rPr>
      </w:pPr>
    </w:p>
    <w:p w:rsidR="00E16AF0" w:rsidRPr="00740906" w:rsidRDefault="00E16AF0" w:rsidP="00D24EE6">
      <w:pPr>
        <w:tabs>
          <w:tab w:val="left" w:pos="-180"/>
        </w:tabs>
        <w:suppressAutoHyphens/>
        <w:spacing w:before="120"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Drinking Prevalence</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four-fifths of those surveyed (79%) stated that they drank alcohol, while 15% said that they had never drank alcohol.</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More males (82%) than females (76%) drank alcohol.   A lower proportion of males (11%) than females (18%) ha</w:t>
      </w:r>
      <w:r w:rsidR="001469F7">
        <w:rPr>
          <w:rFonts w:asciiTheme="minorHAnsi" w:hAnsiTheme="minorHAnsi" w:cstheme="minorHAnsi"/>
          <w:sz w:val="22"/>
          <w:szCs w:val="22"/>
        </w:rPr>
        <w:t>d</w:t>
      </w:r>
      <w:r>
        <w:rPr>
          <w:rFonts w:asciiTheme="minorHAnsi" w:hAnsiTheme="minorHAnsi" w:cstheme="minorHAnsi"/>
          <w:sz w:val="22"/>
          <w:szCs w:val="22"/>
        </w:rPr>
        <w:t xml:space="preserve"> never drank alcohol.</w:t>
      </w:r>
    </w:p>
    <w:p w:rsidR="00E16AF0" w:rsidRDefault="00E16AF0" w:rsidP="00406DE6">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 xml:space="preserve">Among males, the highest proportion of </w:t>
      </w:r>
      <w:r w:rsidR="001469F7">
        <w:rPr>
          <w:rFonts w:asciiTheme="minorHAnsi" w:hAnsiTheme="minorHAnsi" w:cstheme="minorHAnsi"/>
          <w:sz w:val="22"/>
          <w:szCs w:val="22"/>
        </w:rPr>
        <w:t>those that</w:t>
      </w:r>
      <w:r>
        <w:rPr>
          <w:rFonts w:asciiTheme="minorHAnsi" w:hAnsiTheme="minorHAnsi" w:cstheme="minorHAnsi"/>
          <w:sz w:val="22"/>
          <w:szCs w:val="22"/>
        </w:rPr>
        <w:t xml:space="preserve"> drank alcohol occurred for those aged between 25 and 34 (91%).  This declined with age to 65% of those aged 75 and over. </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213268">
        <w:rPr>
          <w:rFonts w:asciiTheme="minorHAnsi" w:hAnsiTheme="minorHAnsi" w:cstheme="minorHAnsi"/>
          <w:noProof/>
          <w:sz w:val="22"/>
          <w:szCs w:val="22"/>
          <w:lang w:val="en-IE" w:eastAsia="en-IE"/>
        </w:rPr>
        <w:drawing>
          <wp:inline distT="0" distB="0" distL="0" distR="0">
            <wp:extent cx="4324350" cy="2520000"/>
            <wp:effectExtent l="19050" t="0" r="0" b="0"/>
            <wp:docPr id="9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06DE6" w:rsidRDefault="00406DE6" w:rsidP="00B8333A">
      <w:pPr>
        <w:tabs>
          <w:tab w:val="left" w:pos="-180"/>
        </w:tabs>
        <w:suppressAutoHyphens/>
        <w:spacing w:after="120" w:line="288" w:lineRule="auto"/>
        <w:rPr>
          <w:rFonts w:asciiTheme="minorHAnsi" w:hAnsiTheme="minorHAnsi" w:cstheme="minorHAnsi"/>
          <w:sz w:val="22"/>
          <w:szCs w:val="22"/>
        </w:rPr>
      </w:pP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The proportion of female respondents that drank alcohol also declined with age from 89% of those aged 18-24 to 45% of those aged 75 and over.  Almost half of the 75 and over age group had never dr</w:t>
      </w:r>
      <w:r w:rsidR="001469F7">
        <w:rPr>
          <w:rFonts w:asciiTheme="minorHAnsi" w:hAnsiTheme="minorHAnsi" w:cstheme="minorHAnsi"/>
          <w:sz w:val="22"/>
          <w:szCs w:val="22"/>
        </w:rPr>
        <w:t>a</w:t>
      </w:r>
      <w:r>
        <w:rPr>
          <w:rFonts w:asciiTheme="minorHAnsi" w:hAnsiTheme="minorHAnsi" w:cstheme="minorHAnsi"/>
          <w:sz w:val="22"/>
          <w:szCs w:val="22"/>
        </w:rPr>
        <w:t>nk alcohol.</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213268">
        <w:rPr>
          <w:rFonts w:asciiTheme="minorHAnsi" w:hAnsiTheme="minorHAnsi" w:cstheme="minorHAnsi"/>
          <w:noProof/>
          <w:sz w:val="22"/>
          <w:szCs w:val="22"/>
          <w:lang w:val="en-IE" w:eastAsia="en-IE"/>
        </w:rPr>
        <w:drawing>
          <wp:inline distT="0" distB="0" distL="0" distR="0">
            <wp:extent cx="4324350" cy="2592000"/>
            <wp:effectExtent l="19050" t="0" r="0" b="0"/>
            <wp:docPr id="9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F7D33" w:rsidRDefault="007F7D33" w:rsidP="00D24EE6">
      <w:pPr>
        <w:tabs>
          <w:tab w:val="left" w:pos="-180"/>
        </w:tabs>
        <w:suppressAutoHyphens/>
        <w:spacing w:before="120" w:after="60"/>
        <w:rPr>
          <w:rFonts w:asciiTheme="minorHAnsi" w:hAnsiTheme="minorHAnsi" w:cstheme="minorHAnsi"/>
          <w:b/>
          <w:color w:val="009900"/>
          <w:sz w:val="22"/>
          <w:szCs w:val="22"/>
        </w:rPr>
      </w:pPr>
    </w:p>
    <w:p w:rsidR="00E16AF0" w:rsidRPr="00740906" w:rsidRDefault="00E16AF0" w:rsidP="00D24EE6">
      <w:pPr>
        <w:tabs>
          <w:tab w:val="left" w:pos="-180"/>
        </w:tabs>
        <w:suppressAutoHyphens/>
        <w:spacing w:before="120" w:after="60"/>
        <w:rPr>
          <w:rFonts w:asciiTheme="minorHAnsi" w:hAnsiTheme="minorHAnsi" w:cstheme="minorHAnsi"/>
          <w:color w:val="009900"/>
          <w:sz w:val="22"/>
          <w:szCs w:val="22"/>
        </w:rPr>
      </w:pPr>
      <w:r w:rsidRPr="00740906">
        <w:rPr>
          <w:rFonts w:asciiTheme="minorHAnsi" w:hAnsiTheme="minorHAnsi" w:cstheme="minorHAnsi"/>
          <w:b/>
          <w:color w:val="009900"/>
          <w:sz w:val="22"/>
          <w:szCs w:val="22"/>
        </w:rPr>
        <w:t>Reasons Given for Never Drinking / Stopping Drinking</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main reason given by those who never drank alcohol was not liking the taste of it (50%), followed by religious reasons (27%) and </w:t>
      </w:r>
      <w:r w:rsidRPr="001A02F1">
        <w:rPr>
          <w:rFonts w:asciiTheme="minorHAnsi" w:hAnsiTheme="minorHAnsi" w:cstheme="minorHAnsi"/>
          <w:sz w:val="22"/>
          <w:szCs w:val="22"/>
        </w:rPr>
        <w:t>parent</w:t>
      </w:r>
      <w:r>
        <w:rPr>
          <w:rFonts w:asciiTheme="minorHAnsi" w:hAnsiTheme="minorHAnsi" w:cstheme="minorHAnsi"/>
          <w:sz w:val="22"/>
          <w:szCs w:val="22"/>
        </w:rPr>
        <w:t>al advice</w:t>
      </w:r>
      <w:r w:rsidRPr="001A02F1">
        <w:rPr>
          <w:rFonts w:asciiTheme="minorHAnsi" w:hAnsiTheme="minorHAnsi" w:cstheme="minorHAnsi"/>
          <w:sz w:val="22"/>
          <w:szCs w:val="22"/>
        </w:rPr>
        <w:t xml:space="preserve"> (10%).</w:t>
      </w:r>
    </w:p>
    <w:p w:rsidR="00E16AF0" w:rsidRPr="001A02F1"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half of respondents (48%) that had stopped drinking alcohol did so for h</w:t>
      </w:r>
      <w:r w:rsidRPr="001A02F1">
        <w:rPr>
          <w:rFonts w:asciiTheme="minorHAnsi" w:hAnsiTheme="minorHAnsi" w:cstheme="minorHAnsi"/>
          <w:sz w:val="22"/>
          <w:szCs w:val="22"/>
        </w:rPr>
        <w:t>ealth reasons</w:t>
      </w:r>
      <w:r>
        <w:rPr>
          <w:rFonts w:asciiTheme="minorHAnsi" w:hAnsiTheme="minorHAnsi" w:cstheme="minorHAnsi"/>
          <w:sz w:val="22"/>
          <w:szCs w:val="22"/>
        </w:rPr>
        <w:t xml:space="preserve">.  A further quarter stopped because they did not like the taste of it (25%) and </w:t>
      </w:r>
      <w:r w:rsidRPr="001A02F1">
        <w:rPr>
          <w:rFonts w:asciiTheme="minorHAnsi" w:hAnsiTheme="minorHAnsi" w:cstheme="minorHAnsi"/>
          <w:sz w:val="22"/>
          <w:szCs w:val="22"/>
        </w:rPr>
        <w:t>10%</w:t>
      </w:r>
      <w:r>
        <w:rPr>
          <w:rFonts w:asciiTheme="minorHAnsi" w:hAnsiTheme="minorHAnsi" w:cstheme="minorHAnsi"/>
          <w:sz w:val="22"/>
          <w:szCs w:val="22"/>
        </w:rPr>
        <w:t xml:space="preserve"> for religious reasons</w:t>
      </w:r>
      <w:r w:rsidRPr="001A02F1">
        <w:rPr>
          <w:rFonts w:asciiTheme="minorHAnsi" w:hAnsiTheme="minorHAnsi" w:cstheme="minorHAnsi"/>
          <w:sz w:val="22"/>
          <w:szCs w:val="22"/>
        </w:rPr>
        <w:t>.</w:t>
      </w:r>
    </w:p>
    <w:p w:rsidR="007F7D33" w:rsidRDefault="007F7D33" w:rsidP="00E16AF0">
      <w:pPr>
        <w:tabs>
          <w:tab w:val="left" w:pos="-180"/>
        </w:tabs>
        <w:suppressAutoHyphens/>
        <w:spacing w:after="60"/>
        <w:rPr>
          <w:rFonts w:asciiTheme="minorHAnsi" w:hAnsiTheme="minorHAnsi" w:cstheme="minorHAnsi"/>
          <w:b/>
        </w:rPr>
      </w:pPr>
    </w:p>
    <w:p w:rsidR="007F7D33" w:rsidRDefault="007F7D33" w:rsidP="00E16AF0">
      <w:pPr>
        <w:tabs>
          <w:tab w:val="left" w:pos="-180"/>
        </w:tabs>
        <w:suppressAutoHyphens/>
        <w:spacing w:after="60"/>
        <w:rPr>
          <w:rFonts w:asciiTheme="minorHAnsi" w:hAnsiTheme="minorHAnsi" w:cstheme="minorHAnsi"/>
          <w:b/>
        </w:rPr>
      </w:pPr>
    </w:p>
    <w:p w:rsidR="007F7D33" w:rsidRDefault="007F7D33" w:rsidP="00E16AF0">
      <w:pPr>
        <w:tabs>
          <w:tab w:val="left" w:pos="-180"/>
        </w:tabs>
        <w:suppressAutoHyphens/>
        <w:spacing w:after="60"/>
        <w:rPr>
          <w:rFonts w:asciiTheme="minorHAnsi" w:hAnsiTheme="minorHAnsi" w:cstheme="minorHAnsi"/>
          <w:b/>
        </w:rPr>
      </w:pPr>
    </w:p>
    <w:p w:rsidR="007F7D33" w:rsidRDefault="007F7D33" w:rsidP="00E16AF0">
      <w:pPr>
        <w:tabs>
          <w:tab w:val="left" w:pos="-180"/>
        </w:tabs>
        <w:suppressAutoHyphens/>
        <w:spacing w:after="60"/>
        <w:rPr>
          <w:rFonts w:asciiTheme="minorHAnsi" w:hAnsiTheme="minorHAnsi" w:cstheme="minorHAnsi"/>
          <w:b/>
        </w:rPr>
      </w:pPr>
    </w:p>
    <w:p w:rsidR="007F7D33" w:rsidRDefault="007F7D33" w:rsidP="00E16AF0">
      <w:pPr>
        <w:tabs>
          <w:tab w:val="left" w:pos="-180"/>
        </w:tabs>
        <w:suppressAutoHyphens/>
        <w:spacing w:after="60"/>
        <w:rPr>
          <w:rFonts w:asciiTheme="minorHAnsi" w:hAnsiTheme="minorHAnsi" w:cstheme="minorHAnsi"/>
          <w:b/>
        </w:rPr>
      </w:pPr>
    </w:p>
    <w:p w:rsidR="007F7D33" w:rsidRDefault="007F7D33" w:rsidP="00E16AF0">
      <w:pPr>
        <w:tabs>
          <w:tab w:val="left" w:pos="-180"/>
        </w:tabs>
        <w:suppressAutoHyphens/>
        <w:spacing w:after="60"/>
        <w:rPr>
          <w:rFonts w:asciiTheme="minorHAnsi" w:hAnsiTheme="minorHAnsi" w:cstheme="minorHAnsi"/>
          <w:b/>
        </w:rPr>
      </w:pPr>
    </w:p>
    <w:p w:rsidR="00E16AF0" w:rsidRPr="0047662A" w:rsidRDefault="00E16AF0" w:rsidP="00E16AF0">
      <w:pPr>
        <w:tabs>
          <w:tab w:val="left" w:pos="-180"/>
        </w:tabs>
        <w:suppressAutoHyphens/>
        <w:spacing w:after="60"/>
        <w:rPr>
          <w:rFonts w:asciiTheme="minorHAnsi" w:hAnsiTheme="minorHAnsi" w:cstheme="minorHAnsi"/>
        </w:rPr>
      </w:pPr>
      <w:r>
        <w:rPr>
          <w:rFonts w:asciiTheme="minorHAnsi" w:hAnsiTheme="minorHAnsi" w:cstheme="minorHAnsi"/>
          <w:b/>
        </w:rPr>
        <w:lastRenderedPageBreak/>
        <w:t xml:space="preserve">Reasons for Never Drinking </w:t>
      </w:r>
      <w:r w:rsidR="00FA27AD">
        <w:rPr>
          <w:rFonts w:asciiTheme="minorHAnsi" w:hAnsiTheme="minorHAnsi" w:cstheme="minorHAnsi"/>
          <w:b/>
        </w:rPr>
        <w:t xml:space="preserve">                              </w:t>
      </w:r>
      <w:r w:rsidRPr="0047662A">
        <w:rPr>
          <w:rFonts w:asciiTheme="minorHAnsi" w:hAnsiTheme="minorHAnsi" w:cstheme="minorHAnsi"/>
          <w:b/>
        </w:rPr>
        <w:t xml:space="preserve"> Reasons for Stopping Drinking</w:t>
      </w:r>
    </w:p>
    <w:p w:rsidR="00E16AF0" w:rsidRDefault="006F13A2" w:rsidP="00E16AF0">
      <w:pPr>
        <w:tabs>
          <w:tab w:val="center" w:pos="4075"/>
        </w:tabs>
        <w:autoSpaceDE w:val="0"/>
        <w:autoSpaceDN w:val="0"/>
        <w:adjustRightInd w:val="0"/>
        <w:rPr>
          <w:rFonts w:ascii="Calibri" w:hAnsi="Calibri" w:cs="Calibri"/>
          <w:color w:val="000000"/>
          <w:sz w:val="22"/>
          <w:szCs w:val="22"/>
          <w:lang w:eastAsia="en-GB"/>
        </w:rPr>
      </w:pPr>
      <w:r>
        <w:rPr>
          <w:rFonts w:ascii="Calibri" w:hAnsi="Calibri" w:cs="Calibri"/>
          <w:noProof/>
          <w:color w:val="000000"/>
          <w:sz w:val="22"/>
          <w:szCs w:val="22"/>
          <w:lang w:val="en-IE" w:eastAsia="en-IE"/>
        </w:rPr>
        <mc:AlternateContent>
          <mc:Choice Requires="wps">
            <w:drawing>
              <wp:anchor distT="0" distB="0" distL="114300" distR="114300" simplePos="0" relativeHeight="251664384" behindDoc="0" locked="0" layoutInCell="1" allowOverlap="1">
                <wp:simplePos x="0" y="0"/>
                <wp:positionH relativeFrom="column">
                  <wp:posOffset>2197100</wp:posOffset>
                </wp:positionH>
                <wp:positionV relativeFrom="paragraph">
                  <wp:posOffset>48260</wp:posOffset>
                </wp:positionV>
                <wp:extent cx="0" cy="1696085"/>
                <wp:effectExtent l="6350" t="10160" r="12700" b="825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73pt;margin-top:3.8pt;width:0;height:133.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JQIAAEc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"/>
            </w:pict>
          </mc:Fallback>
        </mc:AlternateContent>
      </w:r>
      <w:r w:rsidR="00E16AF0" w:rsidRPr="00FA1044">
        <w:rPr>
          <w:rFonts w:ascii="Calibri" w:hAnsi="Calibri" w:cs="Calibri"/>
          <w:noProof/>
          <w:color w:val="000000"/>
          <w:sz w:val="22"/>
          <w:szCs w:val="22"/>
          <w:lang w:val="en-IE" w:eastAsia="en-IE"/>
        </w:rPr>
        <w:drawing>
          <wp:inline distT="0" distB="0" distL="0" distR="0">
            <wp:extent cx="2160000" cy="1800225"/>
            <wp:effectExtent l="0" t="0" r="0" b="0"/>
            <wp:docPr id="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E16AF0" w:rsidRPr="00FA1044">
        <w:rPr>
          <w:rFonts w:ascii="Calibri" w:hAnsi="Calibri" w:cs="Calibri"/>
          <w:noProof/>
          <w:color w:val="000000"/>
          <w:sz w:val="22"/>
          <w:szCs w:val="22"/>
          <w:lang w:val="en-IE" w:eastAsia="en-IE"/>
        </w:rPr>
        <w:drawing>
          <wp:inline distT="0" distB="0" distL="0" distR="0">
            <wp:extent cx="2160000" cy="1800225"/>
            <wp:effectExtent l="0" t="0" r="0" b="0"/>
            <wp:docPr id="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406DE6" w:rsidRPr="00406DE6">
        <w:rPr>
          <w:noProof/>
          <w:lang w:eastAsia="en-GB"/>
        </w:rPr>
        <w:t xml:space="preserve"> </w:t>
      </w:r>
      <w:r w:rsidR="00406DE6" w:rsidRPr="00406DE6">
        <w:rPr>
          <w:rFonts w:ascii="Calibri" w:hAnsi="Calibri" w:cs="Calibri"/>
          <w:noProof/>
          <w:color w:val="000000"/>
          <w:sz w:val="22"/>
          <w:szCs w:val="22"/>
          <w:lang w:val="en-IE" w:eastAsia="en-IE"/>
        </w:rPr>
        <w:drawing>
          <wp:inline distT="0" distB="0" distL="0" distR="0">
            <wp:extent cx="4410075" cy="396000"/>
            <wp:effectExtent l="0" t="0" r="0" b="0"/>
            <wp:docPr id="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F7D33" w:rsidRDefault="007F7D33" w:rsidP="007A412E">
      <w:pPr>
        <w:pStyle w:val="Heading2"/>
        <w:spacing w:before="0" w:after="60"/>
        <w:rPr>
          <w:rFonts w:asciiTheme="minorHAnsi" w:hAnsiTheme="minorHAnsi" w:cstheme="minorHAnsi"/>
          <w:color w:val="009900"/>
          <w:sz w:val="24"/>
          <w:szCs w:val="24"/>
        </w:rPr>
      </w:pPr>
      <w:bookmarkStart w:id="40" w:name="_Ref381945813"/>
    </w:p>
    <w:p w:rsidR="00E16AF0" w:rsidRPr="00740906" w:rsidRDefault="007F7D33" w:rsidP="007F7D33">
      <w:pPr>
        <w:pStyle w:val="Heading2"/>
        <w:spacing w:before="120" w:after="60"/>
        <w:rPr>
          <w:rFonts w:asciiTheme="minorHAnsi" w:hAnsiTheme="minorHAnsi" w:cstheme="minorHAnsi"/>
          <w:color w:val="009900"/>
          <w:sz w:val="24"/>
          <w:szCs w:val="24"/>
        </w:rPr>
      </w:pPr>
      <w:r>
        <w:rPr>
          <w:rFonts w:asciiTheme="minorHAnsi" w:hAnsiTheme="minorHAnsi" w:cstheme="minorHAnsi"/>
          <w:color w:val="009900"/>
          <w:sz w:val="24"/>
          <w:szCs w:val="24"/>
        </w:rPr>
        <w:t>A</w:t>
      </w:r>
      <w:r w:rsidR="0095371B" w:rsidRPr="00740906">
        <w:rPr>
          <w:rFonts w:asciiTheme="minorHAnsi" w:hAnsiTheme="minorHAnsi" w:cstheme="minorHAnsi"/>
          <w:color w:val="009900"/>
          <w:sz w:val="24"/>
          <w:szCs w:val="24"/>
        </w:rPr>
        <w:t xml:space="preserve">dult </w:t>
      </w:r>
      <w:r w:rsidR="00E16AF0" w:rsidRPr="00740906">
        <w:rPr>
          <w:rFonts w:asciiTheme="minorHAnsi" w:hAnsiTheme="minorHAnsi" w:cstheme="minorHAnsi"/>
          <w:color w:val="009900"/>
          <w:sz w:val="24"/>
          <w:szCs w:val="24"/>
        </w:rPr>
        <w:t>Obesity</w:t>
      </w:r>
      <w:bookmarkEnd w:id="40"/>
    </w:p>
    <w:p w:rsidR="00F4708A" w:rsidRPr="00740906" w:rsidRDefault="00F4708A" w:rsidP="00F4708A">
      <w:pPr>
        <w:tabs>
          <w:tab w:val="left" w:pos="-180"/>
        </w:tabs>
        <w:suppressAutoHyphens/>
        <w:spacing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Background</w:t>
      </w:r>
    </w:p>
    <w:p w:rsidR="000B396F" w:rsidRPr="000B396F" w:rsidRDefault="00E16AF0" w:rsidP="00B8333A">
      <w:pPr>
        <w:tabs>
          <w:tab w:val="left" w:pos="-180"/>
        </w:tabs>
        <w:suppressAutoHyphens/>
        <w:spacing w:after="120" w:line="288" w:lineRule="auto"/>
        <w:rPr>
          <w:rFonts w:asciiTheme="minorHAnsi" w:hAnsiTheme="minorHAnsi" w:cstheme="minorHAnsi"/>
          <w:sz w:val="22"/>
          <w:szCs w:val="22"/>
        </w:rPr>
      </w:pPr>
      <w:r w:rsidRPr="00BA5E1E">
        <w:rPr>
          <w:rFonts w:asciiTheme="minorHAnsi" w:hAnsiTheme="minorHAnsi" w:cstheme="minorHAnsi"/>
          <w:sz w:val="22"/>
          <w:szCs w:val="22"/>
        </w:rPr>
        <w:t>In 2012, the DHSSPS launched, ‘A Fitter Future for All: Framework for Preventing and Addressing Overweight and Obesity in Northern Ireland</w:t>
      </w:r>
      <w:r w:rsidR="002226D2">
        <w:rPr>
          <w:rFonts w:asciiTheme="minorHAnsi" w:hAnsiTheme="minorHAnsi" w:cstheme="minorHAnsi"/>
          <w:sz w:val="22"/>
          <w:szCs w:val="22"/>
        </w:rPr>
        <w:t xml:space="preserve"> </w:t>
      </w:r>
      <w:r w:rsidR="002226D2" w:rsidRPr="000B396F">
        <w:rPr>
          <w:rFonts w:asciiTheme="minorHAnsi" w:hAnsiTheme="minorHAnsi" w:cstheme="minorHAnsi"/>
          <w:sz w:val="22"/>
          <w:szCs w:val="22"/>
        </w:rPr>
        <w:t>2012-22’</w:t>
      </w:r>
      <w:r w:rsidR="000B396F" w:rsidRPr="000B396F">
        <w:rPr>
          <w:rFonts w:asciiTheme="minorHAnsi" w:hAnsiTheme="minorHAnsi" w:cstheme="minorHAnsi"/>
          <w:sz w:val="22"/>
          <w:szCs w:val="22"/>
        </w:rPr>
        <w:t xml:space="preserve"> which aims to ‘empower the population of Northern Ireland to make healthy choices, reduce the risk of overweight and obesity related diseases and improve health and wellbeing, by creating an environment that supports and promotes a physically active lifestyle and a healthy diet.’  </w:t>
      </w:r>
    </w:p>
    <w:p w:rsidR="00E16AF0" w:rsidRDefault="00E16AF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H</w:t>
      </w:r>
      <w:r w:rsidRPr="00BA5E1E">
        <w:rPr>
          <w:rFonts w:asciiTheme="minorHAnsi" w:hAnsiTheme="minorHAnsi" w:cstheme="minorHAnsi"/>
          <w:sz w:val="22"/>
          <w:szCs w:val="22"/>
        </w:rPr>
        <w:t xml:space="preserve">eight and weight measurements </w:t>
      </w:r>
      <w:r w:rsidR="001469F7">
        <w:rPr>
          <w:rFonts w:asciiTheme="minorHAnsi" w:hAnsiTheme="minorHAnsi" w:cstheme="minorHAnsi"/>
          <w:sz w:val="22"/>
          <w:szCs w:val="22"/>
        </w:rPr>
        <w:t xml:space="preserve">from respondents </w:t>
      </w:r>
      <w:r w:rsidRPr="00BA5E1E">
        <w:rPr>
          <w:rFonts w:asciiTheme="minorHAnsi" w:hAnsiTheme="minorHAnsi" w:cstheme="minorHAnsi"/>
          <w:sz w:val="22"/>
          <w:szCs w:val="22"/>
        </w:rPr>
        <w:t xml:space="preserve">were </w:t>
      </w:r>
      <w:r w:rsidR="001469F7">
        <w:rPr>
          <w:rFonts w:asciiTheme="minorHAnsi" w:hAnsiTheme="minorHAnsi" w:cstheme="minorHAnsi"/>
          <w:sz w:val="22"/>
          <w:szCs w:val="22"/>
        </w:rPr>
        <w:t>used to calculate</w:t>
      </w:r>
      <w:r w:rsidRPr="00BA5E1E">
        <w:rPr>
          <w:rFonts w:asciiTheme="minorHAnsi" w:hAnsiTheme="minorHAnsi" w:cstheme="minorHAnsi"/>
          <w:sz w:val="22"/>
          <w:szCs w:val="22"/>
        </w:rPr>
        <w:t xml:space="preserve"> the</w:t>
      </w:r>
      <w:r w:rsidR="001469F7">
        <w:rPr>
          <w:rFonts w:asciiTheme="minorHAnsi" w:hAnsiTheme="minorHAnsi" w:cstheme="minorHAnsi"/>
          <w:sz w:val="22"/>
          <w:szCs w:val="22"/>
        </w:rPr>
        <w:t>ir</w:t>
      </w:r>
      <w:r w:rsidRPr="00BA5E1E">
        <w:rPr>
          <w:rFonts w:asciiTheme="minorHAnsi" w:hAnsiTheme="minorHAnsi" w:cstheme="minorHAnsi"/>
          <w:sz w:val="22"/>
          <w:szCs w:val="22"/>
        </w:rPr>
        <w:t xml:space="preserve"> Body Mass Index (BMI).  This is a widely used indicator of body fat levels </w:t>
      </w:r>
      <w:r w:rsidR="001469F7">
        <w:rPr>
          <w:rFonts w:asciiTheme="minorHAnsi" w:hAnsiTheme="minorHAnsi" w:cstheme="minorHAnsi"/>
          <w:sz w:val="22"/>
          <w:szCs w:val="22"/>
        </w:rPr>
        <w:t>and allows an estimation of adult obesity levels to be made</w:t>
      </w:r>
      <w:r w:rsidRPr="00BA5E1E">
        <w:rPr>
          <w:rFonts w:asciiTheme="minorHAnsi" w:hAnsiTheme="minorHAnsi" w:cstheme="minorHAnsi"/>
          <w:sz w:val="22"/>
          <w:szCs w:val="22"/>
        </w:rPr>
        <w:t xml:space="preserve">.    </w:t>
      </w:r>
    </w:p>
    <w:p w:rsidR="0095371B" w:rsidRDefault="0095371B"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Overall, </w:t>
      </w:r>
      <w:r w:rsidR="00C31949">
        <w:rPr>
          <w:rFonts w:asciiTheme="minorHAnsi" w:hAnsiTheme="minorHAnsi" w:cstheme="minorHAnsi"/>
          <w:sz w:val="22"/>
          <w:szCs w:val="22"/>
        </w:rPr>
        <w:t xml:space="preserve">the height and weight of </w:t>
      </w:r>
      <w:r>
        <w:rPr>
          <w:rFonts w:asciiTheme="minorHAnsi" w:hAnsiTheme="minorHAnsi" w:cstheme="minorHAnsi"/>
          <w:sz w:val="22"/>
          <w:szCs w:val="22"/>
        </w:rPr>
        <w:t xml:space="preserve">3,280 adults </w:t>
      </w:r>
      <w:r w:rsidR="00C31949">
        <w:rPr>
          <w:rFonts w:asciiTheme="minorHAnsi" w:hAnsiTheme="minorHAnsi" w:cstheme="minorHAnsi"/>
          <w:sz w:val="22"/>
          <w:szCs w:val="22"/>
        </w:rPr>
        <w:t>were recorded</w:t>
      </w:r>
      <w:r>
        <w:rPr>
          <w:rFonts w:asciiTheme="minorHAnsi" w:hAnsiTheme="minorHAnsi" w:cstheme="minorHAnsi"/>
          <w:sz w:val="22"/>
          <w:szCs w:val="22"/>
        </w:rPr>
        <w:t>.</w:t>
      </w:r>
    </w:p>
    <w:p w:rsidR="00F4708A" w:rsidRPr="00740906" w:rsidRDefault="00F4708A" w:rsidP="00F4708A">
      <w:pPr>
        <w:tabs>
          <w:tab w:val="center" w:pos="4075"/>
        </w:tabs>
        <w:autoSpaceDE w:val="0"/>
        <w:autoSpaceDN w:val="0"/>
        <w:adjustRightInd w:val="0"/>
        <w:spacing w:before="180" w:after="60"/>
        <w:rPr>
          <w:rFonts w:asciiTheme="minorHAnsi" w:hAnsiTheme="minorHAnsi" w:cstheme="minorHAnsi"/>
          <w:color w:val="009900"/>
          <w:sz w:val="22"/>
          <w:szCs w:val="22"/>
        </w:rPr>
      </w:pPr>
      <w:r w:rsidRPr="00740906">
        <w:rPr>
          <w:rFonts w:asciiTheme="minorHAnsi" w:hAnsiTheme="minorHAnsi" w:cstheme="minorHAnsi"/>
          <w:b/>
          <w:color w:val="009900"/>
          <w:sz w:val="22"/>
          <w:szCs w:val="22"/>
        </w:rPr>
        <w:t>Adult BMI Categories</w:t>
      </w:r>
    </w:p>
    <w:p w:rsidR="00E16AF0" w:rsidRDefault="000E1384"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 quarter of adults (25</w:t>
      </w:r>
      <w:r w:rsidRPr="00BA5E1E">
        <w:rPr>
          <w:rFonts w:asciiTheme="minorHAnsi" w:hAnsiTheme="minorHAnsi" w:cstheme="minorHAnsi"/>
          <w:sz w:val="22"/>
          <w:szCs w:val="22"/>
        </w:rPr>
        <w:t>%</w:t>
      </w:r>
      <w:r>
        <w:rPr>
          <w:rFonts w:asciiTheme="minorHAnsi" w:hAnsiTheme="minorHAnsi" w:cstheme="minorHAnsi"/>
          <w:sz w:val="22"/>
          <w:szCs w:val="22"/>
        </w:rPr>
        <w:t>)</w:t>
      </w:r>
      <w:r w:rsidRPr="00BA5E1E">
        <w:rPr>
          <w:rFonts w:asciiTheme="minorHAnsi" w:hAnsiTheme="minorHAnsi" w:cstheme="minorHAnsi"/>
          <w:sz w:val="22"/>
          <w:szCs w:val="22"/>
        </w:rPr>
        <w:t xml:space="preserve"> were obese</w:t>
      </w:r>
      <w:r w:rsidRPr="00325849">
        <w:rPr>
          <w:rFonts w:asciiTheme="minorHAnsi" w:hAnsiTheme="minorHAnsi" w:cstheme="minorHAnsi"/>
          <w:sz w:val="22"/>
          <w:szCs w:val="22"/>
        </w:rPr>
        <w:t xml:space="preserve"> </w:t>
      </w:r>
      <w:r>
        <w:rPr>
          <w:rFonts w:asciiTheme="minorHAnsi" w:hAnsiTheme="minorHAnsi" w:cstheme="minorHAnsi"/>
          <w:sz w:val="22"/>
          <w:szCs w:val="22"/>
        </w:rPr>
        <w:t xml:space="preserve">with a further </w:t>
      </w:r>
      <w:r w:rsidR="00E16AF0">
        <w:rPr>
          <w:rFonts w:asciiTheme="minorHAnsi" w:hAnsiTheme="minorHAnsi" w:cstheme="minorHAnsi"/>
          <w:sz w:val="22"/>
          <w:szCs w:val="22"/>
        </w:rPr>
        <w:t>two-fifths (3</w:t>
      </w:r>
      <w:r>
        <w:rPr>
          <w:rFonts w:asciiTheme="minorHAnsi" w:hAnsiTheme="minorHAnsi" w:cstheme="minorHAnsi"/>
          <w:sz w:val="22"/>
          <w:szCs w:val="22"/>
        </w:rPr>
        <w:t>7</w:t>
      </w:r>
      <w:r w:rsidR="00E16AF0">
        <w:rPr>
          <w:rFonts w:asciiTheme="minorHAnsi" w:hAnsiTheme="minorHAnsi" w:cstheme="minorHAnsi"/>
          <w:sz w:val="22"/>
          <w:szCs w:val="22"/>
        </w:rPr>
        <w:t xml:space="preserve">%) </w:t>
      </w:r>
      <w:r w:rsidRPr="00BA5E1E">
        <w:rPr>
          <w:rFonts w:asciiTheme="minorHAnsi" w:hAnsiTheme="minorHAnsi" w:cstheme="minorHAnsi"/>
          <w:sz w:val="22"/>
          <w:szCs w:val="22"/>
        </w:rPr>
        <w:t>class</w:t>
      </w:r>
      <w:r>
        <w:rPr>
          <w:rFonts w:asciiTheme="minorHAnsi" w:hAnsiTheme="minorHAnsi" w:cstheme="minorHAnsi"/>
          <w:sz w:val="22"/>
          <w:szCs w:val="22"/>
        </w:rPr>
        <w:t>ifi</w:t>
      </w:r>
      <w:r w:rsidRPr="00BA5E1E">
        <w:rPr>
          <w:rFonts w:asciiTheme="minorHAnsi" w:hAnsiTheme="minorHAnsi" w:cstheme="minorHAnsi"/>
          <w:sz w:val="22"/>
          <w:szCs w:val="22"/>
        </w:rPr>
        <w:t>ed as</w:t>
      </w:r>
      <w:r>
        <w:rPr>
          <w:rFonts w:asciiTheme="minorHAnsi" w:hAnsiTheme="minorHAnsi" w:cstheme="minorHAnsi"/>
          <w:sz w:val="22"/>
          <w:szCs w:val="22"/>
        </w:rPr>
        <w:t xml:space="preserve"> </w:t>
      </w:r>
      <w:r w:rsidR="00E16AF0" w:rsidRPr="00BA5E1E">
        <w:rPr>
          <w:rFonts w:asciiTheme="minorHAnsi" w:hAnsiTheme="minorHAnsi" w:cstheme="minorHAnsi"/>
          <w:sz w:val="22"/>
          <w:szCs w:val="22"/>
        </w:rPr>
        <w:t xml:space="preserve">overweight.  </w:t>
      </w:r>
      <w:r>
        <w:rPr>
          <w:rFonts w:asciiTheme="minorHAnsi" w:hAnsiTheme="minorHAnsi" w:cstheme="minorHAnsi"/>
          <w:sz w:val="22"/>
          <w:szCs w:val="22"/>
        </w:rPr>
        <w:t>Overall two-fifths of adults were either normal or underweight (38%).</w:t>
      </w:r>
      <w:r w:rsidR="001469F7">
        <w:rPr>
          <w:rFonts w:asciiTheme="minorHAnsi" w:hAnsiTheme="minorHAnsi" w:cstheme="minorHAnsi"/>
          <w:sz w:val="22"/>
          <w:szCs w:val="22"/>
        </w:rPr>
        <w:t xml:space="preserve">  </w:t>
      </w:r>
      <w:r w:rsidR="00E16AF0">
        <w:rPr>
          <w:rFonts w:asciiTheme="minorHAnsi" w:hAnsiTheme="minorHAnsi" w:cstheme="minorHAnsi"/>
          <w:sz w:val="22"/>
          <w:szCs w:val="22"/>
        </w:rPr>
        <w:t xml:space="preserve">Males (69%) were more likely </w:t>
      </w:r>
      <w:r>
        <w:rPr>
          <w:rFonts w:asciiTheme="minorHAnsi" w:hAnsiTheme="minorHAnsi" w:cstheme="minorHAnsi"/>
          <w:sz w:val="22"/>
          <w:szCs w:val="22"/>
        </w:rPr>
        <w:t>than females (57%)</w:t>
      </w:r>
      <w:r w:rsidRPr="000E1384">
        <w:rPr>
          <w:rFonts w:asciiTheme="minorHAnsi" w:hAnsiTheme="minorHAnsi" w:cstheme="minorHAnsi"/>
          <w:sz w:val="22"/>
          <w:szCs w:val="22"/>
        </w:rPr>
        <w:t xml:space="preserve"> </w:t>
      </w:r>
      <w:r>
        <w:rPr>
          <w:rFonts w:asciiTheme="minorHAnsi" w:hAnsiTheme="minorHAnsi" w:cstheme="minorHAnsi"/>
          <w:sz w:val="22"/>
          <w:szCs w:val="22"/>
        </w:rPr>
        <w:t>to be overweight or obese.</w:t>
      </w:r>
    </w:p>
    <w:p w:rsidR="00E16AF0" w:rsidRDefault="00E16AF0" w:rsidP="00E16AF0">
      <w:pPr>
        <w:tabs>
          <w:tab w:val="center" w:pos="4075"/>
        </w:tabs>
        <w:autoSpaceDE w:val="0"/>
        <w:autoSpaceDN w:val="0"/>
        <w:adjustRightInd w:val="0"/>
        <w:spacing w:after="60"/>
        <w:rPr>
          <w:rFonts w:asciiTheme="minorHAnsi" w:hAnsiTheme="minorHAnsi" w:cstheme="minorHAnsi"/>
          <w:sz w:val="22"/>
          <w:szCs w:val="22"/>
        </w:rPr>
      </w:pPr>
      <w:r w:rsidRPr="00175E97">
        <w:rPr>
          <w:rFonts w:asciiTheme="minorHAnsi" w:hAnsiTheme="minorHAnsi" w:cstheme="minorHAnsi"/>
          <w:noProof/>
          <w:sz w:val="22"/>
          <w:szCs w:val="22"/>
          <w:lang w:val="en-IE" w:eastAsia="en-IE"/>
        </w:rPr>
        <w:lastRenderedPageBreak/>
        <w:drawing>
          <wp:inline distT="0" distB="0" distL="0" distR="0">
            <wp:extent cx="4324350" cy="2520000"/>
            <wp:effectExtent l="19050" t="0" r="0" b="0"/>
            <wp:docPr id="1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16AF0" w:rsidRDefault="00E16AF0" w:rsidP="007F7D33">
      <w:pPr>
        <w:tabs>
          <w:tab w:val="left" w:pos="-180"/>
        </w:tabs>
        <w:suppressAutoHyphens/>
        <w:spacing w:before="240" w:after="240" w:line="288" w:lineRule="auto"/>
        <w:rPr>
          <w:rFonts w:asciiTheme="minorHAnsi" w:hAnsiTheme="minorHAnsi" w:cstheme="minorHAnsi"/>
          <w:sz w:val="22"/>
          <w:szCs w:val="22"/>
        </w:rPr>
      </w:pPr>
      <w:r>
        <w:rPr>
          <w:rFonts w:asciiTheme="minorHAnsi" w:hAnsiTheme="minorHAnsi" w:cstheme="minorHAnsi"/>
          <w:sz w:val="22"/>
          <w:szCs w:val="22"/>
        </w:rPr>
        <w:t>Those in the most deprived areas (31%) were more likely to be in one of the obese categories than those in the least deprived areas (21%).</w:t>
      </w:r>
    </w:p>
    <w:p w:rsidR="00E16AF0" w:rsidRPr="00BA5E1E" w:rsidRDefault="00E16AF0" w:rsidP="00E16AF0">
      <w:pPr>
        <w:tabs>
          <w:tab w:val="center" w:pos="4075"/>
        </w:tabs>
        <w:autoSpaceDE w:val="0"/>
        <w:autoSpaceDN w:val="0"/>
        <w:adjustRightInd w:val="0"/>
        <w:spacing w:after="60"/>
        <w:rPr>
          <w:rFonts w:asciiTheme="minorHAnsi" w:hAnsiTheme="minorHAnsi" w:cstheme="minorHAnsi"/>
          <w:sz w:val="22"/>
          <w:szCs w:val="22"/>
        </w:rPr>
      </w:pPr>
      <w:r w:rsidRPr="008B444F">
        <w:rPr>
          <w:rFonts w:asciiTheme="minorHAnsi" w:hAnsiTheme="minorHAnsi" w:cstheme="minorHAnsi"/>
          <w:noProof/>
          <w:sz w:val="22"/>
          <w:szCs w:val="22"/>
          <w:lang w:val="en-IE" w:eastAsia="en-IE"/>
        </w:rPr>
        <w:drawing>
          <wp:inline distT="0" distB="0" distL="0" distR="0">
            <wp:extent cx="4324350" cy="2520000"/>
            <wp:effectExtent l="19050" t="0" r="0" b="0"/>
            <wp:docPr id="1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16AF0" w:rsidRPr="00663265" w:rsidRDefault="00E16AF0" w:rsidP="002E3624">
      <w:pPr>
        <w:tabs>
          <w:tab w:val="left" w:pos="-180"/>
        </w:tabs>
        <w:suppressAutoHyphens/>
        <w:spacing w:before="120" w:after="240" w:line="288" w:lineRule="auto"/>
        <w:rPr>
          <w:rFonts w:asciiTheme="minorHAnsi" w:hAnsiTheme="minorHAnsi" w:cstheme="minorHAnsi"/>
          <w:sz w:val="22"/>
          <w:szCs w:val="22"/>
        </w:rPr>
      </w:pPr>
      <w:r w:rsidRPr="00663265">
        <w:rPr>
          <w:rFonts w:asciiTheme="minorHAnsi" w:hAnsiTheme="minorHAnsi" w:cstheme="minorHAnsi"/>
          <w:sz w:val="22"/>
          <w:szCs w:val="22"/>
        </w:rPr>
        <w:t xml:space="preserve">The likelihood of being </w:t>
      </w:r>
      <w:r w:rsidR="007234A4">
        <w:rPr>
          <w:rFonts w:asciiTheme="minorHAnsi" w:hAnsiTheme="minorHAnsi" w:cstheme="minorHAnsi"/>
          <w:sz w:val="22"/>
          <w:szCs w:val="22"/>
        </w:rPr>
        <w:t>either</w:t>
      </w:r>
      <w:r w:rsidRPr="00663265">
        <w:rPr>
          <w:rFonts w:asciiTheme="minorHAnsi" w:hAnsiTheme="minorHAnsi" w:cstheme="minorHAnsi"/>
          <w:sz w:val="22"/>
          <w:szCs w:val="22"/>
        </w:rPr>
        <w:t xml:space="preserve"> overweight </w:t>
      </w:r>
      <w:r w:rsidR="007234A4">
        <w:rPr>
          <w:rFonts w:asciiTheme="minorHAnsi" w:hAnsiTheme="minorHAnsi" w:cstheme="minorHAnsi"/>
          <w:sz w:val="22"/>
          <w:szCs w:val="22"/>
        </w:rPr>
        <w:t>or obese</w:t>
      </w:r>
      <w:r w:rsidRPr="00663265">
        <w:rPr>
          <w:rFonts w:asciiTheme="minorHAnsi" w:hAnsiTheme="minorHAnsi" w:cstheme="minorHAnsi"/>
          <w:sz w:val="22"/>
          <w:szCs w:val="22"/>
        </w:rPr>
        <w:t xml:space="preserve"> increased with age from 39% of those in the 16-24 age-group to 76% of those in the 55-64 age-group </w:t>
      </w:r>
      <w:r>
        <w:rPr>
          <w:rFonts w:asciiTheme="minorHAnsi" w:hAnsiTheme="minorHAnsi" w:cstheme="minorHAnsi"/>
          <w:sz w:val="22"/>
          <w:szCs w:val="22"/>
        </w:rPr>
        <w:t>before</w:t>
      </w:r>
      <w:r w:rsidRPr="00663265">
        <w:rPr>
          <w:rFonts w:asciiTheme="minorHAnsi" w:hAnsiTheme="minorHAnsi" w:cstheme="minorHAnsi"/>
          <w:sz w:val="22"/>
          <w:szCs w:val="22"/>
        </w:rPr>
        <w:t xml:space="preserve"> f</w:t>
      </w:r>
      <w:r>
        <w:rPr>
          <w:rFonts w:asciiTheme="minorHAnsi" w:hAnsiTheme="minorHAnsi" w:cstheme="minorHAnsi"/>
          <w:sz w:val="22"/>
          <w:szCs w:val="22"/>
        </w:rPr>
        <w:t>a</w:t>
      </w:r>
      <w:r w:rsidRPr="00663265">
        <w:rPr>
          <w:rFonts w:asciiTheme="minorHAnsi" w:hAnsiTheme="minorHAnsi" w:cstheme="minorHAnsi"/>
          <w:sz w:val="22"/>
          <w:szCs w:val="22"/>
        </w:rPr>
        <w:t>ll</w:t>
      </w:r>
      <w:r>
        <w:rPr>
          <w:rFonts w:asciiTheme="minorHAnsi" w:hAnsiTheme="minorHAnsi" w:cstheme="minorHAnsi"/>
          <w:sz w:val="22"/>
          <w:szCs w:val="22"/>
        </w:rPr>
        <w:t>ing</w:t>
      </w:r>
      <w:r w:rsidRPr="00663265">
        <w:rPr>
          <w:rFonts w:asciiTheme="minorHAnsi" w:hAnsiTheme="minorHAnsi" w:cstheme="minorHAnsi"/>
          <w:sz w:val="22"/>
          <w:szCs w:val="22"/>
        </w:rPr>
        <w:t xml:space="preserve"> to 63% of those in the 75 and over age-group.</w:t>
      </w:r>
    </w:p>
    <w:p w:rsidR="00E16AF0" w:rsidRDefault="00E16AF0" w:rsidP="00E16AF0">
      <w:pPr>
        <w:tabs>
          <w:tab w:val="left" w:pos="-180"/>
        </w:tabs>
        <w:suppressAutoHyphens/>
        <w:spacing w:after="60"/>
        <w:rPr>
          <w:rFonts w:asciiTheme="minorHAnsi" w:hAnsiTheme="minorHAnsi" w:cstheme="minorHAnsi"/>
          <w:b/>
          <w:color w:val="4F81BD" w:themeColor="accent1"/>
          <w:sz w:val="22"/>
          <w:szCs w:val="22"/>
        </w:rPr>
      </w:pPr>
      <w:r w:rsidRPr="008B444F">
        <w:rPr>
          <w:rFonts w:asciiTheme="minorHAnsi" w:hAnsiTheme="minorHAnsi" w:cstheme="minorHAnsi"/>
          <w:b/>
          <w:noProof/>
          <w:color w:val="4F81BD" w:themeColor="accent1"/>
          <w:sz w:val="22"/>
          <w:szCs w:val="22"/>
          <w:lang w:val="en-IE" w:eastAsia="en-IE"/>
        </w:rPr>
        <w:lastRenderedPageBreak/>
        <w:drawing>
          <wp:inline distT="0" distB="0" distL="0" distR="0">
            <wp:extent cx="4324350" cy="2520000"/>
            <wp:effectExtent l="19050" t="0" r="0" b="0"/>
            <wp:docPr id="1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16AF0" w:rsidRPr="00873946" w:rsidRDefault="00E16AF0" w:rsidP="007F7D33">
      <w:pPr>
        <w:tabs>
          <w:tab w:val="left" w:pos="-180"/>
        </w:tabs>
        <w:suppressAutoHyphens/>
        <w:spacing w:before="240" w:after="240" w:line="288" w:lineRule="auto"/>
        <w:rPr>
          <w:rFonts w:asciiTheme="minorHAnsi" w:hAnsiTheme="minorHAnsi" w:cstheme="minorHAnsi"/>
          <w:sz w:val="22"/>
          <w:szCs w:val="22"/>
        </w:rPr>
      </w:pPr>
      <w:r w:rsidRPr="00873946">
        <w:rPr>
          <w:rFonts w:asciiTheme="minorHAnsi" w:hAnsiTheme="minorHAnsi" w:cstheme="minorHAnsi"/>
          <w:sz w:val="22"/>
          <w:szCs w:val="22"/>
        </w:rPr>
        <w:t>The majority o</w:t>
      </w:r>
      <w:r>
        <w:rPr>
          <w:rFonts w:asciiTheme="minorHAnsi" w:hAnsiTheme="minorHAnsi" w:cstheme="minorHAnsi"/>
          <w:sz w:val="22"/>
          <w:szCs w:val="22"/>
        </w:rPr>
        <w:t>f those who were obese</w:t>
      </w:r>
      <w:r w:rsidRPr="00873946">
        <w:rPr>
          <w:rFonts w:asciiTheme="minorHAnsi" w:hAnsiTheme="minorHAnsi" w:cstheme="minorHAnsi"/>
          <w:sz w:val="22"/>
          <w:szCs w:val="22"/>
        </w:rPr>
        <w:t xml:space="preserve"> recognised that they were too heavy </w:t>
      </w:r>
      <w:r>
        <w:rPr>
          <w:rFonts w:asciiTheme="minorHAnsi" w:hAnsiTheme="minorHAnsi" w:cstheme="minorHAnsi"/>
          <w:sz w:val="22"/>
          <w:szCs w:val="22"/>
        </w:rPr>
        <w:t>(87% of those who were obese and 97% of those who were morbidly obese)</w:t>
      </w:r>
      <w:r w:rsidR="000E1384">
        <w:rPr>
          <w:rFonts w:asciiTheme="minorHAnsi" w:hAnsiTheme="minorHAnsi" w:cstheme="minorHAnsi"/>
          <w:sz w:val="22"/>
          <w:szCs w:val="22"/>
        </w:rPr>
        <w:t>.  In comparison</w:t>
      </w:r>
      <w:r>
        <w:rPr>
          <w:rFonts w:asciiTheme="minorHAnsi" w:hAnsiTheme="minorHAnsi" w:cstheme="minorHAnsi"/>
          <w:sz w:val="22"/>
          <w:szCs w:val="22"/>
        </w:rPr>
        <w:t xml:space="preserve"> just over half of those who were overweight (52%) thought they were </w:t>
      </w:r>
      <w:r w:rsidR="000E1384">
        <w:rPr>
          <w:rFonts w:asciiTheme="minorHAnsi" w:hAnsiTheme="minorHAnsi" w:cstheme="minorHAnsi"/>
          <w:sz w:val="22"/>
          <w:szCs w:val="22"/>
        </w:rPr>
        <w:t>too heavy</w:t>
      </w:r>
      <w:r>
        <w:rPr>
          <w:rFonts w:asciiTheme="minorHAnsi" w:hAnsiTheme="minorHAnsi" w:cstheme="minorHAnsi"/>
          <w:sz w:val="22"/>
          <w:szCs w:val="22"/>
        </w:rPr>
        <w:t>.</w:t>
      </w:r>
    </w:p>
    <w:p w:rsidR="00E16AF0" w:rsidRDefault="00E16AF0" w:rsidP="00E16AF0">
      <w:pPr>
        <w:tabs>
          <w:tab w:val="left" w:pos="-180"/>
        </w:tabs>
        <w:suppressAutoHyphens/>
        <w:spacing w:after="60"/>
        <w:rPr>
          <w:rFonts w:asciiTheme="minorHAnsi" w:hAnsiTheme="minorHAnsi" w:cstheme="minorHAnsi"/>
          <w:b/>
          <w:color w:val="4F81BD" w:themeColor="accent1"/>
          <w:sz w:val="22"/>
          <w:szCs w:val="22"/>
        </w:rPr>
      </w:pPr>
      <w:r w:rsidRPr="00663265">
        <w:rPr>
          <w:rFonts w:asciiTheme="minorHAnsi" w:hAnsiTheme="minorHAnsi" w:cstheme="minorHAnsi"/>
          <w:b/>
          <w:noProof/>
          <w:color w:val="4F81BD" w:themeColor="accent1"/>
          <w:sz w:val="22"/>
          <w:szCs w:val="22"/>
          <w:lang w:val="en-IE" w:eastAsia="en-IE"/>
        </w:rPr>
        <w:drawing>
          <wp:inline distT="0" distB="0" distL="0" distR="0">
            <wp:extent cx="4324350" cy="2520000"/>
            <wp:effectExtent l="19050" t="0" r="0" b="0"/>
            <wp:docPr id="1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16AF0" w:rsidRPr="00760B0D" w:rsidRDefault="00E16AF0" w:rsidP="00B8333A">
      <w:pPr>
        <w:tabs>
          <w:tab w:val="left" w:pos="-180"/>
        </w:tabs>
        <w:suppressAutoHyphens/>
        <w:spacing w:after="120" w:line="288" w:lineRule="auto"/>
        <w:rPr>
          <w:rFonts w:asciiTheme="minorHAnsi" w:hAnsiTheme="minorHAnsi" w:cstheme="minorHAnsi"/>
          <w:sz w:val="22"/>
          <w:szCs w:val="22"/>
        </w:rPr>
      </w:pPr>
      <w:r w:rsidRPr="00760B0D">
        <w:rPr>
          <w:rFonts w:asciiTheme="minorHAnsi" w:hAnsiTheme="minorHAnsi" w:cstheme="minorHAnsi"/>
          <w:sz w:val="22"/>
          <w:szCs w:val="22"/>
        </w:rPr>
        <w:lastRenderedPageBreak/>
        <w:t>Three-quarters of those who were morbidly obese were trying to lose weight, as were 70% of those who were obese and 43% of those who were overweight.</w:t>
      </w:r>
      <w:r>
        <w:rPr>
          <w:rFonts w:asciiTheme="minorHAnsi" w:hAnsiTheme="minorHAnsi" w:cstheme="minorHAnsi"/>
          <w:sz w:val="22"/>
          <w:szCs w:val="22"/>
        </w:rPr>
        <w:t xml:space="preserve">  One-fifth of those who were underweight (21%) were trying to gain weight.</w:t>
      </w:r>
    </w:p>
    <w:p w:rsidR="00E16AF0" w:rsidRDefault="00E16AF0" w:rsidP="00E16AF0">
      <w:pPr>
        <w:tabs>
          <w:tab w:val="left" w:pos="-180"/>
        </w:tabs>
        <w:suppressAutoHyphens/>
        <w:spacing w:after="60"/>
        <w:rPr>
          <w:rFonts w:asciiTheme="minorHAnsi" w:hAnsiTheme="minorHAnsi" w:cstheme="minorHAnsi"/>
          <w:b/>
          <w:color w:val="4F81BD" w:themeColor="accent1"/>
          <w:sz w:val="22"/>
          <w:szCs w:val="22"/>
        </w:rPr>
      </w:pPr>
      <w:r w:rsidRPr="00174A84">
        <w:rPr>
          <w:rFonts w:asciiTheme="minorHAnsi" w:hAnsiTheme="minorHAnsi" w:cstheme="minorHAnsi"/>
          <w:b/>
          <w:noProof/>
          <w:color w:val="4F81BD" w:themeColor="accent1"/>
          <w:sz w:val="22"/>
          <w:szCs w:val="22"/>
          <w:lang w:val="en-IE" w:eastAsia="en-IE"/>
        </w:rPr>
        <w:drawing>
          <wp:inline distT="0" distB="0" distL="0" distR="0">
            <wp:extent cx="4320000" cy="2524125"/>
            <wp:effectExtent l="19050" t="0" r="0" b="0"/>
            <wp:docPr id="1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234A4" w:rsidRPr="00AA07BB" w:rsidRDefault="007234A4" w:rsidP="00AA07BB">
      <w:pPr>
        <w:tabs>
          <w:tab w:val="left" w:pos="-180"/>
        </w:tabs>
        <w:suppressAutoHyphens/>
        <w:rPr>
          <w:rFonts w:asciiTheme="minorHAnsi" w:hAnsiTheme="minorHAnsi" w:cstheme="minorHAnsi"/>
          <w:b/>
          <w:color w:val="4F81BD" w:themeColor="accent1"/>
          <w:sz w:val="16"/>
          <w:szCs w:val="16"/>
        </w:rPr>
      </w:pPr>
    </w:p>
    <w:p w:rsidR="00881943" w:rsidRPr="00740906" w:rsidRDefault="00881943" w:rsidP="007F7D33">
      <w:pPr>
        <w:pStyle w:val="Heading2"/>
        <w:spacing w:before="0" w:after="120"/>
        <w:rPr>
          <w:rFonts w:asciiTheme="minorHAnsi" w:hAnsiTheme="minorHAnsi" w:cstheme="minorHAnsi"/>
          <w:color w:val="009900"/>
          <w:sz w:val="24"/>
          <w:szCs w:val="24"/>
        </w:rPr>
      </w:pPr>
      <w:bookmarkStart w:id="41" w:name="_Ref381945818"/>
      <w:r w:rsidRPr="00740906">
        <w:rPr>
          <w:rFonts w:asciiTheme="minorHAnsi" w:hAnsiTheme="minorHAnsi" w:cstheme="minorHAnsi"/>
          <w:color w:val="009900"/>
          <w:sz w:val="24"/>
          <w:szCs w:val="24"/>
        </w:rPr>
        <w:t>Physical Activity</w:t>
      </w:r>
      <w:bookmarkEnd w:id="41"/>
    </w:p>
    <w:p w:rsidR="001724A9" w:rsidRPr="00740906" w:rsidRDefault="001724A9" w:rsidP="007F7D33">
      <w:pPr>
        <w:tabs>
          <w:tab w:val="center" w:pos="4075"/>
        </w:tabs>
        <w:autoSpaceDE w:val="0"/>
        <w:autoSpaceDN w:val="0"/>
        <w:adjustRightInd w:val="0"/>
        <w:spacing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Background</w:t>
      </w:r>
    </w:p>
    <w:p w:rsidR="002226D2" w:rsidRPr="00B8333A" w:rsidRDefault="001724A9" w:rsidP="00B8333A">
      <w:pPr>
        <w:tabs>
          <w:tab w:val="left" w:pos="-180"/>
        </w:tabs>
        <w:suppressAutoHyphens/>
        <w:spacing w:after="120" w:line="288" w:lineRule="auto"/>
        <w:rPr>
          <w:rFonts w:asciiTheme="minorHAnsi" w:hAnsiTheme="minorHAnsi" w:cstheme="minorHAnsi"/>
          <w:sz w:val="22"/>
          <w:szCs w:val="22"/>
        </w:rPr>
      </w:pPr>
      <w:r w:rsidRPr="001724A9">
        <w:rPr>
          <w:rFonts w:asciiTheme="minorHAnsi" w:hAnsiTheme="minorHAnsi" w:cstheme="minorHAnsi"/>
          <w:sz w:val="22"/>
          <w:szCs w:val="22"/>
        </w:rPr>
        <w:t xml:space="preserve">In July 2011, the Chief Medical Officers of the four UK countries introduced revised guidelines for physical activity.  Over a week, adults aged 19 and over should aim to undertake 150 minutes of moderate intensity in bouts of 10 minutes or more.  For instance, golf, hill walking, cricket or horse riding.  Alternatively, comparable benefits can be achieved through 75 minutes of vigorous activity spread across the week or combinations of moderate and vigorous activity.  Vigorous activities include football, hockey and martial arts.  In addition to this, adults should undertake muscle-strengthening physical activities </w:t>
      </w:r>
      <w:r w:rsidR="000B396F">
        <w:rPr>
          <w:rFonts w:asciiTheme="minorHAnsi" w:hAnsiTheme="minorHAnsi" w:cstheme="minorHAnsi"/>
          <w:sz w:val="22"/>
          <w:szCs w:val="22"/>
        </w:rPr>
        <w:t>which</w:t>
      </w:r>
      <w:r w:rsidR="000B396F" w:rsidRPr="00B8333A">
        <w:rPr>
          <w:rFonts w:asciiTheme="minorHAnsi" w:hAnsiTheme="minorHAnsi" w:cstheme="minorHAnsi"/>
          <w:sz w:val="22"/>
          <w:szCs w:val="22"/>
        </w:rPr>
        <w:t xml:space="preserve"> involves all the major muscle groups of the body (the chest, abdomen, hips, shoulders, legs and arms) </w:t>
      </w:r>
      <w:r w:rsidRPr="001724A9">
        <w:rPr>
          <w:rFonts w:asciiTheme="minorHAnsi" w:hAnsiTheme="minorHAnsi" w:cstheme="minorHAnsi"/>
          <w:sz w:val="22"/>
          <w:szCs w:val="22"/>
        </w:rPr>
        <w:t xml:space="preserve">at least </w:t>
      </w:r>
      <w:r w:rsidR="000B396F">
        <w:rPr>
          <w:rFonts w:asciiTheme="minorHAnsi" w:hAnsiTheme="minorHAnsi" w:cstheme="minorHAnsi"/>
          <w:sz w:val="22"/>
          <w:szCs w:val="22"/>
        </w:rPr>
        <w:t>twice</w:t>
      </w:r>
      <w:r w:rsidRPr="001724A9">
        <w:rPr>
          <w:rFonts w:asciiTheme="minorHAnsi" w:hAnsiTheme="minorHAnsi" w:cstheme="minorHAnsi"/>
          <w:sz w:val="22"/>
          <w:szCs w:val="22"/>
        </w:rPr>
        <w:t xml:space="preserve"> a week</w:t>
      </w:r>
      <w:r w:rsidR="000B396F" w:rsidRPr="00B8333A">
        <w:rPr>
          <w:rFonts w:asciiTheme="minorHAnsi" w:hAnsiTheme="minorHAnsi" w:cstheme="minorHAnsi"/>
          <w:sz w:val="22"/>
          <w:szCs w:val="22"/>
        </w:rPr>
        <w:t xml:space="preserve">.  There is no set duration of this activity but exercises should continue to the point at </w:t>
      </w:r>
      <w:r w:rsidR="000B396F" w:rsidRPr="00B8333A">
        <w:rPr>
          <w:rFonts w:asciiTheme="minorHAnsi" w:hAnsiTheme="minorHAnsi" w:cstheme="minorHAnsi"/>
          <w:sz w:val="22"/>
          <w:szCs w:val="22"/>
        </w:rPr>
        <w:lastRenderedPageBreak/>
        <w:t xml:space="preserve">which it would be difficult to do another repetition without help.  Respondents aged 65 and over are at risk of falls and are advised to undertake exercises for at least 10 minutes twice a week to improve their balance and coordination.  </w:t>
      </w:r>
      <w:r w:rsidR="002226D2" w:rsidRPr="00B8333A">
        <w:rPr>
          <w:rFonts w:asciiTheme="minorHAnsi" w:hAnsiTheme="minorHAnsi" w:cstheme="minorHAnsi"/>
          <w:sz w:val="22"/>
          <w:szCs w:val="22"/>
        </w:rPr>
        <w:t>Questions were asked in the Health Survey to determine this information.</w:t>
      </w:r>
    </w:p>
    <w:p w:rsidR="00881943" w:rsidRPr="00740906" w:rsidRDefault="00143813" w:rsidP="008E7DC9">
      <w:pPr>
        <w:tabs>
          <w:tab w:val="left" w:pos="-180"/>
        </w:tabs>
        <w:suppressAutoHyphens/>
        <w:spacing w:before="120"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Recommended Physical Activity</w:t>
      </w:r>
    </w:p>
    <w:p w:rsidR="000B396F" w:rsidRDefault="00143813"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Just over half of respondents (53%) met the new recommendations of 150 or more minutes of exercise per week, while 28% did less than 30 minutes exercise per week.  Males (59%) were more likely than females (49%) to meet the recommended level of exercise.  </w:t>
      </w:r>
    </w:p>
    <w:p w:rsidR="00B8333A" w:rsidRDefault="00340FB7" w:rsidP="00B8333A">
      <w:pPr>
        <w:tabs>
          <w:tab w:val="left" w:pos="-180"/>
        </w:tabs>
        <w:suppressAutoHyphens/>
        <w:spacing w:after="120" w:line="288" w:lineRule="auto"/>
        <w:rPr>
          <w:rFonts w:asciiTheme="minorHAnsi" w:hAnsiTheme="minorHAnsi" w:cstheme="minorHAnsi"/>
          <w:sz w:val="22"/>
          <w:szCs w:val="22"/>
        </w:rPr>
      </w:pPr>
      <w:r w:rsidRPr="00FA7D14">
        <w:rPr>
          <w:rFonts w:asciiTheme="minorHAnsi" w:hAnsiTheme="minorHAnsi" w:cstheme="minorHAnsi"/>
          <w:noProof/>
          <w:color w:val="009900"/>
          <w:sz w:val="22"/>
          <w:szCs w:val="22"/>
          <w:lang w:val="en-IE" w:eastAsia="en-IE"/>
        </w:rPr>
        <w:drawing>
          <wp:inline distT="0" distB="0" distL="0" distR="0">
            <wp:extent cx="4324350" cy="2520000"/>
            <wp:effectExtent l="19050" t="0" r="0" b="0"/>
            <wp:docPr id="5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43813" w:rsidRDefault="00143813" w:rsidP="007C0F71">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Almost three-fifths of the least deprived (59%) met the recommended amount of exercise in comparison with 45% of the most deprived respondents.  Almost two-fifths of the most deprived respondents (38%) did less than 30 minutes of exercise</w:t>
      </w:r>
      <w:r w:rsidR="00715961">
        <w:rPr>
          <w:rFonts w:asciiTheme="minorHAnsi" w:hAnsiTheme="minorHAnsi" w:cstheme="minorHAnsi"/>
          <w:sz w:val="22"/>
          <w:szCs w:val="22"/>
        </w:rPr>
        <w:t xml:space="preserve"> per week.</w:t>
      </w:r>
    </w:p>
    <w:p w:rsidR="008D09E1" w:rsidRDefault="00340FB7" w:rsidP="00E16AF0">
      <w:pPr>
        <w:tabs>
          <w:tab w:val="left" w:pos="-180"/>
        </w:tabs>
        <w:suppressAutoHyphens/>
        <w:spacing w:after="60"/>
        <w:rPr>
          <w:rFonts w:asciiTheme="minorHAnsi" w:hAnsiTheme="minorHAnsi" w:cstheme="minorHAnsi"/>
          <w:sz w:val="22"/>
          <w:szCs w:val="22"/>
        </w:rPr>
      </w:pPr>
      <w:r w:rsidRPr="00FA7D14">
        <w:rPr>
          <w:rFonts w:asciiTheme="minorHAnsi" w:hAnsiTheme="minorHAnsi" w:cstheme="minorHAnsi"/>
          <w:noProof/>
          <w:color w:val="009900"/>
          <w:sz w:val="22"/>
          <w:szCs w:val="22"/>
          <w:lang w:val="en-IE" w:eastAsia="en-IE"/>
        </w:rPr>
        <w:lastRenderedPageBreak/>
        <w:drawing>
          <wp:inline distT="0" distB="0" distL="0" distR="0">
            <wp:extent cx="4324350" cy="2448000"/>
            <wp:effectExtent l="19050" t="0" r="0" b="0"/>
            <wp:docPr id="5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D09E1" w:rsidRPr="00740906" w:rsidRDefault="000E7350" w:rsidP="007C0F71">
      <w:pPr>
        <w:tabs>
          <w:tab w:val="left" w:pos="-180"/>
        </w:tabs>
        <w:suppressAutoHyphens/>
        <w:spacing w:before="24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Muscle-Strengthening Exercise</w:t>
      </w:r>
    </w:p>
    <w:p w:rsidR="000E7350" w:rsidRDefault="000E735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Under a fifth of respondents aged 19 and over (18%) met the recommended level of muscle-strengthening exercise of at least twice a week.  Males (24%) were more likely than females (14%) to meet this recommendation.  </w:t>
      </w:r>
    </w:p>
    <w:p w:rsidR="000E7350" w:rsidRDefault="000E735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Those in the least deprived areas (23%) were more likely to meet the recommendation than those in the most deprived areas (15%).</w:t>
      </w:r>
    </w:p>
    <w:p w:rsidR="000E7350" w:rsidRDefault="0011605C" w:rsidP="00E16AF0">
      <w:pPr>
        <w:tabs>
          <w:tab w:val="left" w:pos="-180"/>
        </w:tabs>
        <w:suppressAutoHyphens/>
        <w:spacing w:after="60"/>
        <w:rPr>
          <w:rFonts w:asciiTheme="minorHAnsi" w:hAnsiTheme="minorHAnsi" w:cstheme="minorHAnsi"/>
          <w:sz w:val="22"/>
          <w:szCs w:val="22"/>
        </w:rPr>
      </w:pPr>
      <w:r w:rsidRPr="0011605C">
        <w:rPr>
          <w:rFonts w:asciiTheme="minorHAnsi" w:hAnsiTheme="minorHAnsi" w:cstheme="minorHAnsi"/>
          <w:noProof/>
          <w:sz w:val="22"/>
          <w:szCs w:val="22"/>
          <w:lang w:val="en-IE" w:eastAsia="en-IE"/>
        </w:rPr>
        <w:drawing>
          <wp:inline distT="0" distB="0" distL="0" distR="0">
            <wp:extent cx="4324350" cy="2340000"/>
            <wp:effectExtent l="1905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E7350" w:rsidRDefault="000E7350"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lastRenderedPageBreak/>
        <w:t>The proportion of respondents who undertook the recommendation decreased with age from 36% of those aged 19-24 to just 1% of those aged 75 and over.</w:t>
      </w:r>
    </w:p>
    <w:p w:rsidR="008D09E1" w:rsidRPr="001724A9" w:rsidRDefault="0011605C" w:rsidP="00E16AF0">
      <w:pPr>
        <w:tabs>
          <w:tab w:val="left" w:pos="-180"/>
        </w:tabs>
        <w:suppressAutoHyphens/>
        <w:spacing w:after="60"/>
        <w:rPr>
          <w:rFonts w:asciiTheme="minorHAnsi" w:hAnsiTheme="minorHAnsi" w:cstheme="minorHAnsi"/>
          <w:sz w:val="22"/>
          <w:szCs w:val="22"/>
        </w:rPr>
      </w:pPr>
      <w:r w:rsidRPr="0011605C">
        <w:rPr>
          <w:rFonts w:asciiTheme="minorHAnsi" w:hAnsiTheme="minorHAnsi" w:cstheme="minorHAnsi"/>
          <w:noProof/>
          <w:sz w:val="22"/>
          <w:szCs w:val="22"/>
          <w:lang w:val="en-IE" w:eastAsia="en-IE"/>
        </w:rPr>
        <w:drawing>
          <wp:inline distT="0" distB="0" distL="0" distR="0">
            <wp:extent cx="4324350" cy="2340000"/>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16AF0" w:rsidRDefault="00B4319A" w:rsidP="007C0F71">
      <w:pPr>
        <w:tabs>
          <w:tab w:val="left" w:pos="-180"/>
        </w:tabs>
        <w:suppressAutoHyphens/>
        <w:spacing w:before="120" w:after="240" w:line="288" w:lineRule="auto"/>
        <w:rPr>
          <w:rFonts w:asciiTheme="minorHAnsi" w:hAnsiTheme="minorHAnsi" w:cstheme="minorHAnsi"/>
          <w:sz w:val="22"/>
          <w:szCs w:val="22"/>
        </w:rPr>
      </w:pPr>
      <w:r>
        <w:rPr>
          <w:rFonts w:asciiTheme="minorHAnsi" w:hAnsiTheme="minorHAnsi" w:cstheme="minorHAnsi"/>
          <w:sz w:val="22"/>
          <w:szCs w:val="22"/>
        </w:rPr>
        <w:t>Those in the normal weight / underweight BMI categor</w:t>
      </w:r>
      <w:r w:rsidR="00CB3A9B">
        <w:rPr>
          <w:rFonts w:asciiTheme="minorHAnsi" w:hAnsiTheme="minorHAnsi" w:cstheme="minorHAnsi"/>
          <w:sz w:val="22"/>
          <w:szCs w:val="22"/>
        </w:rPr>
        <w:t>ies</w:t>
      </w:r>
      <w:r>
        <w:rPr>
          <w:rFonts w:asciiTheme="minorHAnsi" w:hAnsiTheme="minorHAnsi" w:cstheme="minorHAnsi"/>
          <w:sz w:val="22"/>
          <w:szCs w:val="22"/>
        </w:rPr>
        <w:t xml:space="preserve"> (25%) were more likely to meet muscle-strengthening exercise recommendations than those in the obese category (12%).  Males in all BMI categories undertook more muscle-strengthening exercise than females.</w:t>
      </w:r>
    </w:p>
    <w:p w:rsidR="00391AFF" w:rsidRDefault="00B4319A" w:rsidP="00E16AF0">
      <w:pPr>
        <w:tabs>
          <w:tab w:val="left" w:pos="-180"/>
        </w:tabs>
        <w:suppressAutoHyphens/>
        <w:spacing w:after="120"/>
        <w:rPr>
          <w:rFonts w:asciiTheme="minorHAnsi" w:hAnsiTheme="minorHAnsi" w:cstheme="minorHAnsi"/>
          <w:b/>
          <w:color w:val="4F81BD" w:themeColor="accent1"/>
          <w:sz w:val="24"/>
          <w:szCs w:val="24"/>
        </w:rPr>
      </w:pPr>
      <w:r w:rsidRPr="00B4319A">
        <w:rPr>
          <w:rFonts w:asciiTheme="minorHAnsi" w:hAnsiTheme="minorHAnsi" w:cstheme="minorHAnsi"/>
          <w:b/>
          <w:noProof/>
          <w:color w:val="4F81BD" w:themeColor="accent1"/>
          <w:sz w:val="24"/>
          <w:szCs w:val="24"/>
          <w:lang w:val="en-IE" w:eastAsia="en-IE"/>
        </w:rPr>
        <w:drawing>
          <wp:inline distT="0" distB="0" distL="0" distR="0">
            <wp:extent cx="4324350" cy="2340000"/>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D7790" w:rsidRPr="00740906" w:rsidRDefault="006D7790" w:rsidP="006D7790">
      <w:pPr>
        <w:tabs>
          <w:tab w:val="left" w:pos="-180"/>
        </w:tabs>
        <w:suppressAutoHyphens/>
        <w:spacing w:after="6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lastRenderedPageBreak/>
        <w:t>Balance and Coordination Exercise (Over 65s)</w:t>
      </w:r>
    </w:p>
    <w:p w:rsidR="006D7790" w:rsidRDefault="006D7790" w:rsidP="00B8333A">
      <w:pPr>
        <w:tabs>
          <w:tab w:val="left" w:pos="-180"/>
        </w:tabs>
        <w:suppressAutoHyphens/>
        <w:spacing w:after="120" w:line="288" w:lineRule="auto"/>
        <w:rPr>
          <w:rFonts w:asciiTheme="minorHAnsi" w:hAnsiTheme="minorHAnsi" w:cstheme="minorHAnsi"/>
          <w:sz w:val="22"/>
          <w:szCs w:val="22"/>
        </w:rPr>
      </w:pPr>
      <w:r w:rsidRPr="006D7790">
        <w:rPr>
          <w:rFonts w:asciiTheme="minorHAnsi" w:hAnsiTheme="minorHAnsi" w:cstheme="minorHAnsi"/>
          <w:sz w:val="22"/>
          <w:szCs w:val="22"/>
        </w:rPr>
        <w:t xml:space="preserve">Just over </w:t>
      </w:r>
      <w:r w:rsidR="00CB3A9B">
        <w:rPr>
          <w:rFonts w:asciiTheme="minorHAnsi" w:hAnsiTheme="minorHAnsi" w:cstheme="minorHAnsi"/>
          <w:sz w:val="22"/>
          <w:szCs w:val="22"/>
        </w:rPr>
        <w:t>a</w:t>
      </w:r>
      <w:r w:rsidRPr="006D7790">
        <w:rPr>
          <w:rFonts w:asciiTheme="minorHAnsi" w:hAnsiTheme="minorHAnsi" w:cstheme="minorHAnsi"/>
          <w:sz w:val="22"/>
          <w:szCs w:val="22"/>
        </w:rPr>
        <w:t xml:space="preserve"> tenth of respondents aged 65 and over (13%) met the balance and coordination exercise </w:t>
      </w:r>
      <w:r w:rsidR="00E325BE" w:rsidRPr="006D7790">
        <w:rPr>
          <w:rFonts w:asciiTheme="minorHAnsi" w:hAnsiTheme="minorHAnsi" w:cstheme="minorHAnsi"/>
          <w:sz w:val="22"/>
          <w:szCs w:val="22"/>
        </w:rPr>
        <w:t>recommend</w:t>
      </w:r>
      <w:r w:rsidR="00E325BE">
        <w:rPr>
          <w:rFonts w:asciiTheme="minorHAnsi" w:hAnsiTheme="minorHAnsi" w:cstheme="minorHAnsi"/>
          <w:sz w:val="22"/>
          <w:szCs w:val="22"/>
        </w:rPr>
        <w:t>ation</w:t>
      </w:r>
      <w:r w:rsidR="00E325BE" w:rsidRPr="006D7790">
        <w:rPr>
          <w:rFonts w:asciiTheme="minorHAnsi" w:hAnsiTheme="minorHAnsi" w:cstheme="minorHAnsi"/>
          <w:sz w:val="22"/>
          <w:szCs w:val="22"/>
        </w:rPr>
        <w:t xml:space="preserve"> </w:t>
      </w:r>
      <w:r w:rsidRPr="006D7790">
        <w:rPr>
          <w:rFonts w:asciiTheme="minorHAnsi" w:hAnsiTheme="minorHAnsi" w:cstheme="minorHAnsi"/>
          <w:sz w:val="22"/>
          <w:szCs w:val="22"/>
        </w:rPr>
        <w:t>of 10 minutes twice per week</w:t>
      </w:r>
      <w:r w:rsidR="00E325BE">
        <w:rPr>
          <w:rFonts w:asciiTheme="minorHAnsi" w:hAnsiTheme="minorHAnsi" w:cstheme="minorHAnsi"/>
          <w:sz w:val="22"/>
          <w:szCs w:val="22"/>
        </w:rPr>
        <w:t>.</w:t>
      </w:r>
      <w:r w:rsidRPr="006D7790">
        <w:rPr>
          <w:rFonts w:asciiTheme="minorHAnsi" w:hAnsiTheme="minorHAnsi" w:cstheme="minorHAnsi"/>
          <w:sz w:val="22"/>
          <w:szCs w:val="22"/>
        </w:rPr>
        <w:t xml:space="preserve"> </w:t>
      </w:r>
    </w:p>
    <w:p w:rsidR="007A412E" w:rsidRPr="006D7790" w:rsidRDefault="007A412E" w:rsidP="006D7790">
      <w:pPr>
        <w:tabs>
          <w:tab w:val="left" w:pos="-180"/>
        </w:tabs>
        <w:suppressAutoHyphens/>
        <w:spacing w:after="60"/>
        <w:rPr>
          <w:rFonts w:asciiTheme="minorHAnsi" w:hAnsiTheme="minorHAnsi" w:cstheme="minorHAnsi"/>
          <w:sz w:val="22"/>
          <w:szCs w:val="22"/>
        </w:rPr>
      </w:pPr>
    </w:p>
    <w:p w:rsidR="00391AFF" w:rsidRPr="00740906" w:rsidRDefault="00AB49E8" w:rsidP="007C0F71">
      <w:pPr>
        <w:pStyle w:val="Heading2"/>
        <w:spacing w:before="0" w:after="120"/>
        <w:rPr>
          <w:rFonts w:asciiTheme="minorHAnsi" w:hAnsiTheme="minorHAnsi" w:cstheme="minorHAnsi"/>
          <w:color w:val="009900"/>
          <w:sz w:val="24"/>
          <w:szCs w:val="24"/>
        </w:rPr>
      </w:pPr>
      <w:bookmarkStart w:id="42" w:name="_Ref381945831"/>
      <w:r w:rsidRPr="00740906">
        <w:rPr>
          <w:rFonts w:asciiTheme="minorHAnsi" w:hAnsiTheme="minorHAnsi" w:cstheme="minorHAnsi"/>
          <w:color w:val="009900"/>
          <w:sz w:val="24"/>
          <w:szCs w:val="24"/>
        </w:rPr>
        <w:t>Sedentary</w:t>
      </w:r>
      <w:r w:rsidR="005E7070" w:rsidRPr="00740906">
        <w:rPr>
          <w:rFonts w:asciiTheme="minorHAnsi" w:hAnsiTheme="minorHAnsi" w:cstheme="minorHAnsi"/>
          <w:color w:val="009900"/>
          <w:sz w:val="24"/>
          <w:szCs w:val="24"/>
        </w:rPr>
        <w:t xml:space="preserve"> </w:t>
      </w:r>
      <w:r w:rsidR="00E32038" w:rsidRPr="00740906">
        <w:rPr>
          <w:rFonts w:asciiTheme="minorHAnsi" w:hAnsiTheme="minorHAnsi" w:cstheme="minorHAnsi"/>
          <w:color w:val="009900"/>
          <w:sz w:val="24"/>
          <w:szCs w:val="24"/>
        </w:rPr>
        <w:t>B</w:t>
      </w:r>
      <w:r w:rsidR="005E7070" w:rsidRPr="00740906">
        <w:rPr>
          <w:rFonts w:asciiTheme="minorHAnsi" w:hAnsiTheme="minorHAnsi" w:cstheme="minorHAnsi"/>
          <w:color w:val="009900"/>
          <w:sz w:val="24"/>
          <w:szCs w:val="24"/>
        </w:rPr>
        <w:t>ehaviour</w:t>
      </w:r>
      <w:bookmarkEnd w:id="42"/>
    </w:p>
    <w:p w:rsidR="005E7070" w:rsidRDefault="005E7070" w:rsidP="00B8333A">
      <w:pPr>
        <w:tabs>
          <w:tab w:val="left" w:pos="-180"/>
        </w:tabs>
        <w:suppressAutoHyphens/>
        <w:spacing w:after="120" w:line="288" w:lineRule="auto"/>
        <w:rPr>
          <w:rFonts w:asciiTheme="minorHAnsi" w:hAnsiTheme="minorHAnsi" w:cstheme="minorHAnsi"/>
          <w:sz w:val="22"/>
          <w:szCs w:val="22"/>
        </w:rPr>
      </w:pPr>
      <w:r w:rsidRPr="005E7070">
        <w:rPr>
          <w:rFonts w:asciiTheme="minorHAnsi" w:hAnsiTheme="minorHAnsi" w:cstheme="minorHAnsi"/>
          <w:sz w:val="22"/>
          <w:szCs w:val="22"/>
        </w:rPr>
        <w:t xml:space="preserve">Both the Obesity Framework and the guidelines for physical activity recognise the need for people to be more active and less sedentary.  Sedentary behaviour occurs when sitting or lying down is the main mode of posture and where energy expenditure is low.  </w:t>
      </w:r>
    </w:p>
    <w:p w:rsidR="002226D2" w:rsidRPr="00B8333A" w:rsidRDefault="002226D2" w:rsidP="00B8333A">
      <w:pPr>
        <w:tabs>
          <w:tab w:val="left" w:pos="-180"/>
        </w:tabs>
        <w:suppressAutoHyphens/>
        <w:spacing w:after="120" w:line="288" w:lineRule="auto"/>
        <w:rPr>
          <w:rFonts w:asciiTheme="minorHAnsi" w:hAnsiTheme="minorHAnsi" w:cstheme="minorHAnsi"/>
          <w:sz w:val="22"/>
          <w:szCs w:val="22"/>
        </w:rPr>
      </w:pPr>
      <w:r w:rsidRPr="00B8333A">
        <w:rPr>
          <w:rFonts w:asciiTheme="minorHAnsi" w:hAnsiTheme="minorHAnsi" w:cstheme="minorHAnsi"/>
          <w:sz w:val="22"/>
          <w:szCs w:val="22"/>
        </w:rPr>
        <w:t>Information on sedentary behaviour was also sought from the Health Survey.  This was based on the need for people to be more active and less sedentary.  In addition to the total sedentary time in hours, the total time spent watching television is documented in the report.</w:t>
      </w:r>
    </w:p>
    <w:p w:rsidR="000A3468" w:rsidRPr="00740906" w:rsidRDefault="000A3468" w:rsidP="007C0F71">
      <w:pPr>
        <w:tabs>
          <w:tab w:val="left" w:pos="-180"/>
        </w:tabs>
        <w:suppressAutoHyphens/>
        <w:spacing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Time Spent Watching Television</w:t>
      </w:r>
    </w:p>
    <w:p w:rsidR="000A3468" w:rsidRDefault="00340FB7"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W</w:t>
      </w:r>
      <w:r w:rsidRPr="005E7070">
        <w:rPr>
          <w:rFonts w:asciiTheme="minorHAnsi" w:hAnsiTheme="minorHAnsi" w:cstheme="minorHAnsi"/>
          <w:sz w:val="22"/>
          <w:szCs w:val="22"/>
        </w:rPr>
        <w:t xml:space="preserve">atching </w:t>
      </w:r>
      <w:r>
        <w:rPr>
          <w:rFonts w:asciiTheme="minorHAnsi" w:hAnsiTheme="minorHAnsi" w:cstheme="minorHAnsi"/>
          <w:sz w:val="22"/>
          <w:szCs w:val="22"/>
        </w:rPr>
        <w:t xml:space="preserve">television is one of the </w:t>
      </w:r>
      <w:r w:rsidR="00FE384A">
        <w:rPr>
          <w:rFonts w:asciiTheme="minorHAnsi" w:hAnsiTheme="minorHAnsi" w:cstheme="minorHAnsi"/>
          <w:sz w:val="22"/>
          <w:szCs w:val="22"/>
        </w:rPr>
        <w:t xml:space="preserve">main </w:t>
      </w:r>
      <w:r w:rsidRPr="005E7070">
        <w:rPr>
          <w:rFonts w:asciiTheme="minorHAnsi" w:hAnsiTheme="minorHAnsi" w:cstheme="minorHAnsi"/>
          <w:sz w:val="22"/>
          <w:szCs w:val="22"/>
        </w:rPr>
        <w:t>sedentary behaviour</w:t>
      </w:r>
      <w:r w:rsidR="00FE384A">
        <w:rPr>
          <w:rFonts w:asciiTheme="minorHAnsi" w:hAnsiTheme="minorHAnsi" w:cstheme="minorHAnsi"/>
          <w:sz w:val="22"/>
          <w:szCs w:val="22"/>
        </w:rPr>
        <w:t>s</w:t>
      </w:r>
      <w:r w:rsidRPr="005E7070">
        <w:rPr>
          <w:rFonts w:asciiTheme="minorHAnsi" w:hAnsiTheme="minorHAnsi" w:cstheme="minorHAnsi"/>
          <w:sz w:val="22"/>
          <w:szCs w:val="22"/>
        </w:rPr>
        <w:t>.</w:t>
      </w:r>
      <w:r w:rsidR="00FE384A">
        <w:rPr>
          <w:rFonts w:asciiTheme="minorHAnsi" w:hAnsiTheme="minorHAnsi" w:cstheme="minorHAnsi"/>
          <w:sz w:val="22"/>
          <w:szCs w:val="22"/>
        </w:rPr>
        <w:t xml:space="preserve">  </w:t>
      </w:r>
      <w:r w:rsidR="000A3468" w:rsidRPr="000510DC">
        <w:rPr>
          <w:rFonts w:asciiTheme="minorHAnsi" w:hAnsiTheme="minorHAnsi" w:cstheme="minorHAnsi"/>
          <w:sz w:val="22"/>
          <w:szCs w:val="22"/>
        </w:rPr>
        <w:t>Over two-fifths of respondents</w:t>
      </w:r>
      <w:r w:rsidR="000A3468">
        <w:rPr>
          <w:rFonts w:asciiTheme="minorHAnsi" w:hAnsiTheme="minorHAnsi" w:cstheme="minorHAnsi"/>
          <w:sz w:val="22"/>
          <w:szCs w:val="22"/>
        </w:rPr>
        <w:t xml:space="preserve"> aged 19 and over</w:t>
      </w:r>
      <w:r w:rsidR="000A3468" w:rsidRPr="000510DC">
        <w:rPr>
          <w:rFonts w:asciiTheme="minorHAnsi" w:hAnsiTheme="minorHAnsi" w:cstheme="minorHAnsi"/>
          <w:sz w:val="22"/>
          <w:szCs w:val="22"/>
        </w:rPr>
        <w:t xml:space="preserve"> </w:t>
      </w:r>
      <w:r w:rsidR="000A3468">
        <w:rPr>
          <w:rFonts w:asciiTheme="minorHAnsi" w:hAnsiTheme="minorHAnsi" w:cstheme="minorHAnsi"/>
          <w:sz w:val="22"/>
          <w:szCs w:val="22"/>
        </w:rPr>
        <w:t xml:space="preserve">(45%) </w:t>
      </w:r>
      <w:r w:rsidR="000A3468" w:rsidRPr="000510DC">
        <w:rPr>
          <w:rFonts w:asciiTheme="minorHAnsi" w:hAnsiTheme="minorHAnsi" w:cstheme="minorHAnsi"/>
          <w:sz w:val="22"/>
          <w:szCs w:val="22"/>
        </w:rPr>
        <w:t xml:space="preserve">reported </w:t>
      </w:r>
      <w:r w:rsidR="00036611">
        <w:rPr>
          <w:rFonts w:asciiTheme="minorHAnsi" w:hAnsiTheme="minorHAnsi" w:cstheme="minorHAnsi"/>
          <w:sz w:val="22"/>
          <w:szCs w:val="22"/>
        </w:rPr>
        <w:t xml:space="preserve">watching television for two hours </w:t>
      </w:r>
      <w:r w:rsidR="00FE384A">
        <w:rPr>
          <w:rFonts w:asciiTheme="minorHAnsi" w:hAnsiTheme="minorHAnsi" w:cstheme="minorHAnsi"/>
          <w:sz w:val="22"/>
          <w:szCs w:val="22"/>
        </w:rPr>
        <w:t xml:space="preserve">or more </w:t>
      </w:r>
      <w:r w:rsidR="00036611">
        <w:rPr>
          <w:rFonts w:asciiTheme="minorHAnsi" w:hAnsiTheme="minorHAnsi" w:cstheme="minorHAnsi"/>
          <w:sz w:val="22"/>
          <w:szCs w:val="22"/>
        </w:rPr>
        <w:t>on a weekday, while over half (54%) did so on weekend days.</w:t>
      </w:r>
    </w:p>
    <w:p w:rsidR="00340FB7" w:rsidRDefault="000A3468" w:rsidP="00340FB7">
      <w:pPr>
        <w:tabs>
          <w:tab w:val="left" w:pos="-180"/>
        </w:tabs>
        <w:suppressAutoHyphens/>
        <w:rPr>
          <w:rFonts w:asciiTheme="minorHAnsi" w:hAnsiTheme="minorHAnsi" w:cstheme="minorHAnsi"/>
          <w:b/>
        </w:rPr>
      </w:pPr>
      <w:r w:rsidRPr="000A3468">
        <w:rPr>
          <w:rFonts w:asciiTheme="minorHAnsi" w:hAnsiTheme="minorHAnsi" w:cstheme="minorHAnsi"/>
          <w:b/>
        </w:rPr>
        <w:t xml:space="preserve">Time </w:t>
      </w:r>
      <w:r w:rsidRPr="00150BD5">
        <w:rPr>
          <w:rFonts w:asciiTheme="minorHAnsi" w:hAnsiTheme="minorHAnsi" w:cstheme="minorHAnsi"/>
          <w:b/>
        </w:rPr>
        <w:t xml:space="preserve">spent </w:t>
      </w:r>
      <w:r>
        <w:rPr>
          <w:rFonts w:asciiTheme="minorHAnsi" w:hAnsiTheme="minorHAnsi" w:cstheme="minorHAnsi"/>
          <w:b/>
        </w:rPr>
        <w:t xml:space="preserve">watching Television </w:t>
      </w:r>
    </w:p>
    <w:p w:rsidR="000A3468" w:rsidRDefault="000A3468" w:rsidP="00340FB7">
      <w:pPr>
        <w:tabs>
          <w:tab w:val="left" w:pos="-180"/>
        </w:tabs>
        <w:suppressAutoHyphens/>
        <w:rPr>
          <w:rFonts w:asciiTheme="minorHAnsi" w:hAnsiTheme="minorHAnsi" w:cstheme="minorHAnsi"/>
          <w:b/>
        </w:rPr>
      </w:pPr>
      <w:r w:rsidRPr="00150BD5">
        <w:rPr>
          <w:rFonts w:asciiTheme="minorHAnsi" w:hAnsiTheme="minorHAnsi" w:cstheme="minorHAnsi"/>
          <w:b/>
        </w:rPr>
        <w:t xml:space="preserve">Weekdays  </w:t>
      </w:r>
      <w:r w:rsidR="00340FB7">
        <w:rPr>
          <w:rFonts w:asciiTheme="minorHAnsi" w:hAnsiTheme="minorHAnsi" w:cstheme="minorHAnsi"/>
          <w:b/>
        </w:rPr>
        <w:t xml:space="preserve">                                     </w:t>
      </w:r>
      <w:r w:rsidR="007C0F71">
        <w:rPr>
          <w:rFonts w:asciiTheme="minorHAnsi" w:hAnsiTheme="minorHAnsi" w:cstheme="minorHAnsi"/>
          <w:b/>
        </w:rPr>
        <w:tab/>
      </w:r>
      <w:r w:rsidR="007C0F71">
        <w:rPr>
          <w:rFonts w:asciiTheme="minorHAnsi" w:hAnsiTheme="minorHAnsi" w:cstheme="minorHAnsi"/>
          <w:b/>
        </w:rPr>
        <w:tab/>
      </w:r>
      <w:r w:rsidRPr="00150BD5">
        <w:rPr>
          <w:rFonts w:asciiTheme="minorHAnsi" w:hAnsiTheme="minorHAnsi" w:cstheme="minorHAnsi"/>
          <w:b/>
        </w:rPr>
        <w:t>Weekend</w:t>
      </w:r>
      <w:r w:rsidR="00340FB7">
        <w:rPr>
          <w:rFonts w:asciiTheme="minorHAnsi" w:hAnsiTheme="minorHAnsi" w:cstheme="minorHAnsi"/>
          <w:b/>
        </w:rPr>
        <w:t>s</w:t>
      </w:r>
      <w:r w:rsidRPr="00150BD5">
        <w:rPr>
          <w:rFonts w:asciiTheme="minorHAnsi" w:hAnsiTheme="minorHAnsi" w:cstheme="minorHAnsi"/>
          <w:b/>
        </w:rPr>
        <w:t xml:space="preserve"> </w:t>
      </w:r>
    </w:p>
    <w:p w:rsidR="000A3468" w:rsidRPr="00150BD5" w:rsidRDefault="006F13A2" w:rsidP="000A3468">
      <w:pPr>
        <w:tabs>
          <w:tab w:val="left" w:pos="-180"/>
        </w:tabs>
        <w:suppressAutoHyphens/>
        <w:spacing w:after="120"/>
        <w:rPr>
          <w:rFonts w:asciiTheme="minorHAnsi" w:hAnsiTheme="minorHAnsi" w:cstheme="minorHAnsi"/>
          <w:b/>
        </w:rPr>
      </w:pPr>
      <w:r>
        <w:rPr>
          <w:rFonts w:asciiTheme="minorHAnsi" w:hAnsiTheme="minorHAnsi" w:cstheme="minorHAnsi"/>
          <w:b/>
          <w:noProof/>
          <w:lang w:val="en-IE" w:eastAsia="en-IE"/>
        </w:rPr>
        <mc:AlternateContent>
          <mc:Choice Requires="wps">
            <w:drawing>
              <wp:anchor distT="0" distB="0" distL="114300" distR="114300" simplePos="0" relativeHeight="251667456" behindDoc="0" locked="0" layoutInCell="1" allowOverlap="1">
                <wp:simplePos x="0" y="0"/>
                <wp:positionH relativeFrom="column">
                  <wp:posOffset>2034540</wp:posOffset>
                </wp:positionH>
                <wp:positionV relativeFrom="paragraph">
                  <wp:posOffset>36195</wp:posOffset>
                </wp:positionV>
                <wp:extent cx="0" cy="1676400"/>
                <wp:effectExtent l="5715" t="7620" r="13335" b="1143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60.2pt;margin-top:2.85pt;width:0;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E7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"/>
            </w:pict>
          </mc:Fallback>
        </mc:AlternateContent>
      </w:r>
      <w:r w:rsidR="00036611" w:rsidRPr="00036611">
        <w:rPr>
          <w:rFonts w:asciiTheme="minorHAnsi" w:hAnsiTheme="minorHAnsi" w:cstheme="minorHAnsi"/>
          <w:b/>
          <w:noProof/>
          <w:lang w:val="en-IE" w:eastAsia="en-IE"/>
        </w:rPr>
        <w:drawing>
          <wp:inline distT="0" distB="0" distL="0" distR="0">
            <wp:extent cx="2160000" cy="180022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036611" w:rsidRPr="00036611">
        <w:rPr>
          <w:rFonts w:asciiTheme="minorHAnsi" w:hAnsiTheme="minorHAnsi" w:cstheme="minorHAnsi"/>
          <w:b/>
          <w:noProof/>
          <w:lang w:val="en-IE" w:eastAsia="en-IE"/>
        </w:rPr>
        <w:drawing>
          <wp:inline distT="0" distB="0" distL="0" distR="0">
            <wp:extent cx="2162175" cy="1800000"/>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A3468" w:rsidRDefault="00B564CC" w:rsidP="000A3468">
      <w:pPr>
        <w:tabs>
          <w:tab w:val="left" w:pos="-180"/>
        </w:tabs>
        <w:suppressAutoHyphens/>
        <w:spacing w:after="60"/>
        <w:rPr>
          <w:rFonts w:asciiTheme="minorHAnsi" w:hAnsiTheme="minorHAnsi" w:cstheme="minorHAnsi"/>
          <w:sz w:val="22"/>
          <w:szCs w:val="22"/>
        </w:rPr>
      </w:pPr>
      <w:r w:rsidRPr="00B564CC">
        <w:rPr>
          <w:rFonts w:asciiTheme="minorHAnsi" w:hAnsiTheme="minorHAnsi" w:cstheme="minorHAnsi"/>
          <w:noProof/>
          <w:sz w:val="22"/>
          <w:szCs w:val="22"/>
          <w:lang w:val="en-IE" w:eastAsia="en-IE"/>
        </w:rPr>
        <w:drawing>
          <wp:inline distT="0" distB="0" distL="0" distR="0">
            <wp:extent cx="4410075" cy="324000"/>
            <wp:effectExtent l="0" t="0" r="0" b="0"/>
            <wp:docPr id="9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91AFF" w:rsidRPr="00740906" w:rsidRDefault="000A3468" w:rsidP="009E42A0">
      <w:pPr>
        <w:tabs>
          <w:tab w:val="left" w:pos="-180"/>
        </w:tabs>
        <w:suppressAutoHyphens/>
        <w:spacing w:before="12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lastRenderedPageBreak/>
        <w:t xml:space="preserve">Total </w:t>
      </w:r>
      <w:r w:rsidR="000510DC" w:rsidRPr="00740906">
        <w:rPr>
          <w:rFonts w:asciiTheme="minorHAnsi" w:hAnsiTheme="minorHAnsi" w:cstheme="minorHAnsi"/>
          <w:b/>
          <w:color w:val="009900"/>
          <w:sz w:val="22"/>
          <w:szCs w:val="22"/>
        </w:rPr>
        <w:t>Sedentary time</w:t>
      </w:r>
    </w:p>
    <w:p w:rsidR="000510DC" w:rsidRDefault="000510DC" w:rsidP="00B8333A">
      <w:pPr>
        <w:tabs>
          <w:tab w:val="left" w:pos="-180"/>
        </w:tabs>
        <w:suppressAutoHyphens/>
        <w:spacing w:after="120" w:line="288" w:lineRule="auto"/>
        <w:rPr>
          <w:rFonts w:asciiTheme="minorHAnsi" w:hAnsiTheme="minorHAnsi" w:cstheme="minorHAnsi"/>
          <w:sz w:val="22"/>
          <w:szCs w:val="22"/>
        </w:rPr>
      </w:pPr>
      <w:r w:rsidRPr="000510DC">
        <w:rPr>
          <w:rFonts w:asciiTheme="minorHAnsi" w:hAnsiTheme="minorHAnsi" w:cstheme="minorHAnsi"/>
          <w:sz w:val="22"/>
          <w:szCs w:val="22"/>
        </w:rPr>
        <w:t>Over two-fifths of respondents</w:t>
      </w:r>
      <w:r w:rsidR="00FE794A">
        <w:rPr>
          <w:rFonts w:asciiTheme="minorHAnsi" w:hAnsiTheme="minorHAnsi" w:cstheme="minorHAnsi"/>
          <w:sz w:val="22"/>
          <w:szCs w:val="22"/>
        </w:rPr>
        <w:t xml:space="preserve"> aged 19 and over</w:t>
      </w:r>
      <w:r w:rsidRPr="000510DC">
        <w:rPr>
          <w:rFonts w:asciiTheme="minorHAnsi" w:hAnsiTheme="minorHAnsi" w:cstheme="minorHAnsi"/>
          <w:sz w:val="22"/>
          <w:szCs w:val="22"/>
        </w:rPr>
        <w:t xml:space="preserve"> </w:t>
      </w:r>
      <w:r w:rsidR="00FE794A">
        <w:rPr>
          <w:rFonts w:asciiTheme="minorHAnsi" w:hAnsiTheme="minorHAnsi" w:cstheme="minorHAnsi"/>
          <w:sz w:val="22"/>
          <w:szCs w:val="22"/>
        </w:rPr>
        <w:t xml:space="preserve">(45%) </w:t>
      </w:r>
      <w:r w:rsidRPr="000510DC">
        <w:rPr>
          <w:rFonts w:asciiTheme="minorHAnsi" w:hAnsiTheme="minorHAnsi" w:cstheme="minorHAnsi"/>
          <w:sz w:val="22"/>
          <w:szCs w:val="22"/>
        </w:rPr>
        <w:t>reported having over fo</w:t>
      </w:r>
      <w:r>
        <w:rPr>
          <w:rFonts w:asciiTheme="minorHAnsi" w:hAnsiTheme="minorHAnsi" w:cstheme="minorHAnsi"/>
          <w:sz w:val="22"/>
          <w:szCs w:val="22"/>
        </w:rPr>
        <w:t>ur hours of sedentary time per day on weekdays</w:t>
      </w:r>
      <w:r w:rsidR="00FE794A">
        <w:rPr>
          <w:rFonts w:asciiTheme="minorHAnsi" w:hAnsiTheme="minorHAnsi" w:cstheme="minorHAnsi"/>
          <w:sz w:val="22"/>
          <w:szCs w:val="22"/>
        </w:rPr>
        <w:t xml:space="preserve">, while 17% were </w:t>
      </w:r>
      <w:r w:rsidR="000B2FD9">
        <w:rPr>
          <w:rFonts w:asciiTheme="minorHAnsi" w:hAnsiTheme="minorHAnsi" w:cstheme="minorHAnsi"/>
          <w:sz w:val="22"/>
          <w:szCs w:val="22"/>
        </w:rPr>
        <w:t>sedentary</w:t>
      </w:r>
      <w:r w:rsidR="00FE794A">
        <w:rPr>
          <w:rFonts w:asciiTheme="minorHAnsi" w:hAnsiTheme="minorHAnsi" w:cstheme="minorHAnsi"/>
          <w:sz w:val="22"/>
          <w:szCs w:val="22"/>
        </w:rPr>
        <w:t xml:space="preserve"> for between three and four hours.  </w:t>
      </w:r>
    </w:p>
    <w:p w:rsidR="00FE384A" w:rsidRDefault="00FE794A" w:rsidP="00B8333A">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Respondents tended to have more sedentary time on weekend days with over half (55%) reporting over four hours of sedentary time per day on weekends, while 18% were </w:t>
      </w:r>
      <w:r w:rsidR="000B2FD9">
        <w:rPr>
          <w:rFonts w:asciiTheme="minorHAnsi" w:hAnsiTheme="minorHAnsi" w:cstheme="minorHAnsi"/>
          <w:sz w:val="22"/>
          <w:szCs w:val="22"/>
        </w:rPr>
        <w:t>sedentary</w:t>
      </w:r>
      <w:r>
        <w:rPr>
          <w:rFonts w:asciiTheme="minorHAnsi" w:hAnsiTheme="minorHAnsi" w:cstheme="minorHAnsi"/>
          <w:sz w:val="22"/>
          <w:szCs w:val="22"/>
        </w:rPr>
        <w:t xml:space="preserve"> for between three and four hours.  </w:t>
      </w:r>
    </w:p>
    <w:p w:rsidR="00FE794A" w:rsidRPr="000510DC" w:rsidRDefault="00FE384A" w:rsidP="008412AA">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Around three-quarters of respondents</w:t>
      </w:r>
      <w:r w:rsidR="00FE794A">
        <w:rPr>
          <w:rFonts w:asciiTheme="minorHAnsi" w:hAnsiTheme="minorHAnsi" w:cstheme="minorHAnsi"/>
          <w:sz w:val="22"/>
          <w:szCs w:val="22"/>
        </w:rPr>
        <w:t xml:space="preserve"> spent at least half of their sedentary time watching television on </w:t>
      </w:r>
      <w:r>
        <w:rPr>
          <w:rFonts w:asciiTheme="minorHAnsi" w:hAnsiTheme="minorHAnsi" w:cstheme="minorHAnsi"/>
          <w:sz w:val="22"/>
          <w:szCs w:val="22"/>
        </w:rPr>
        <w:t xml:space="preserve">weekdays (73%) and </w:t>
      </w:r>
      <w:r w:rsidR="00FE794A">
        <w:rPr>
          <w:rFonts w:asciiTheme="minorHAnsi" w:hAnsiTheme="minorHAnsi" w:cstheme="minorHAnsi"/>
          <w:sz w:val="22"/>
          <w:szCs w:val="22"/>
        </w:rPr>
        <w:t>weekend days</w:t>
      </w:r>
      <w:r>
        <w:rPr>
          <w:rFonts w:asciiTheme="minorHAnsi" w:hAnsiTheme="minorHAnsi" w:cstheme="minorHAnsi"/>
          <w:sz w:val="22"/>
          <w:szCs w:val="22"/>
        </w:rPr>
        <w:t xml:space="preserve"> (76%)</w:t>
      </w:r>
      <w:r w:rsidR="00FE794A">
        <w:rPr>
          <w:rFonts w:asciiTheme="minorHAnsi" w:hAnsiTheme="minorHAnsi" w:cstheme="minorHAnsi"/>
          <w:sz w:val="22"/>
          <w:szCs w:val="22"/>
        </w:rPr>
        <w:t>.</w:t>
      </w:r>
    </w:p>
    <w:p w:rsidR="00340FB7" w:rsidRDefault="000B2FD9" w:rsidP="00FE384A">
      <w:pPr>
        <w:tabs>
          <w:tab w:val="left" w:pos="-180"/>
        </w:tabs>
        <w:suppressAutoHyphens/>
        <w:rPr>
          <w:rFonts w:asciiTheme="minorHAnsi" w:hAnsiTheme="minorHAnsi" w:cstheme="minorHAnsi"/>
          <w:b/>
        </w:rPr>
      </w:pPr>
      <w:r>
        <w:rPr>
          <w:rFonts w:asciiTheme="minorHAnsi" w:hAnsiTheme="minorHAnsi" w:cstheme="minorHAnsi"/>
          <w:b/>
        </w:rPr>
        <w:t>Sedentary Time</w:t>
      </w:r>
      <w:r w:rsidR="00150BD5" w:rsidRPr="00150BD5">
        <w:rPr>
          <w:rFonts w:asciiTheme="minorHAnsi" w:hAnsiTheme="minorHAnsi" w:cstheme="minorHAnsi"/>
          <w:b/>
        </w:rPr>
        <w:t xml:space="preserve"> </w:t>
      </w:r>
    </w:p>
    <w:p w:rsidR="00391AFF" w:rsidRPr="00150BD5" w:rsidRDefault="00150BD5" w:rsidP="00FE384A">
      <w:pPr>
        <w:tabs>
          <w:tab w:val="left" w:pos="-180"/>
        </w:tabs>
        <w:suppressAutoHyphens/>
        <w:rPr>
          <w:rFonts w:asciiTheme="minorHAnsi" w:hAnsiTheme="minorHAnsi" w:cstheme="minorHAnsi"/>
          <w:b/>
        </w:rPr>
      </w:pPr>
      <w:r w:rsidRPr="00150BD5">
        <w:rPr>
          <w:rFonts w:asciiTheme="minorHAnsi" w:hAnsiTheme="minorHAnsi" w:cstheme="minorHAnsi"/>
          <w:b/>
        </w:rPr>
        <w:t xml:space="preserve">Weekdays </w:t>
      </w:r>
      <w:r w:rsidR="00340FB7">
        <w:rPr>
          <w:rFonts w:asciiTheme="minorHAnsi" w:hAnsiTheme="minorHAnsi" w:cstheme="minorHAnsi"/>
          <w:b/>
        </w:rPr>
        <w:t xml:space="preserve">                                     </w:t>
      </w:r>
      <w:r w:rsidR="00B564CC">
        <w:rPr>
          <w:rFonts w:asciiTheme="minorHAnsi" w:hAnsiTheme="minorHAnsi" w:cstheme="minorHAnsi"/>
          <w:b/>
        </w:rPr>
        <w:tab/>
      </w:r>
      <w:r w:rsidR="00B564CC">
        <w:rPr>
          <w:rFonts w:asciiTheme="minorHAnsi" w:hAnsiTheme="minorHAnsi" w:cstheme="minorHAnsi"/>
          <w:b/>
        </w:rPr>
        <w:tab/>
      </w:r>
      <w:r w:rsidR="00340FB7">
        <w:rPr>
          <w:rFonts w:asciiTheme="minorHAnsi" w:hAnsiTheme="minorHAnsi" w:cstheme="minorHAnsi"/>
          <w:b/>
        </w:rPr>
        <w:t xml:space="preserve"> </w:t>
      </w:r>
      <w:r w:rsidRPr="00150BD5">
        <w:rPr>
          <w:rFonts w:asciiTheme="minorHAnsi" w:hAnsiTheme="minorHAnsi" w:cstheme="minorHAnsi"/>
          <w:b/>
        </w:rPr>
        <w:t>Weekend</w:t>
      </w:r>
      <w:r w:rsidR="00340FB7">
        <w:rPr>
          <w:rFonts w:asciiTheme="minorHAnsi" w:hAnsiTheme="minorHAnsi" w:cstheme="minorHAnsi"/>
          <w:b/>
        </w:rPr>
        <w:t>s</w:t>
      </w:r>
      <w:r w:rsidRPr="00150BD5">
        <w:rPr>
          <w:rFonts w:asciiTheme="minorHAnsi" w:hAnsiTheme="minorHAnsi" w:cstheme="minorHAnsi"/>
          <w:b/>
        </w:rPr>
        <w:t xml:space="preserve"> </w:t>
      </w:r>
    </w:p>
    <w:p w:rsidR="00391AFF" w:rsidRDefault="006F13A2" w:rsidP="00E16AF0">
      <w:pPr>
        <w:tabs>
          <w:tab w:val="left" w:pos="-180"/>
        </w:tabs>
        <w:suppressAutoHyphens/>
        <w:spacing w:after="120"/>
        <w:rPr>
          <w:rFonts w:asciiTheme="minorHAnsi" w:hAnsiTheme="minorHAnsi" w:cstheme="minorHAnsi"/>
          <w:b/>
          <w:color w:val="4F81BD" w:themeColor="accent1"/>
          <w:sz w:val="24"/>
          <w:szCs w:val="24"/>
        </w:rPr>
      </w:pPr>
      <w:r>
        <w:rPr>
          <w:rFonts w:asciiTheme="minorHAnsi" w:hAnsiTheme="minorHAnsi" w:cstheme="minorHAnsi"/>
          <w:b/>
          <w:noProof/>
          <w:color w:val="4F81BD" w:themeColor="accent1"/>
          <w:sz w:val="24"/>
          <w:szCs w:val="24"/>
          <w:lang w:val="en-IE" w:eastAsia="en-IE"/>
        </w:rPr>
        <mc:AlternateContent>
          <mc:Choice Requires="wps">
            <w:drawing>
              <wp:anchor distT="0" distB="0" distL="114300" distR="114300" simplePos="0" relativeHeight="251665408" behindDoc="0" locked="0" layoutInCell="1" allowOverlap="1">
                <wp:simplePos x="0" y="0"/>
                <wp:positionH relativeFrom="column">
                  <wp:posOffset>2132965</wp:posOffset>
                </wp:positionH>
                <wp:positionV relativeFrom="paragraph">
                  <wp:posOffset>71755</wp:posOffset>
                </wp:positionV>
                <wp:extent cx="0" cy="1695450"/>
                <wp:effectExtent l="8890" t="5080" r="10160" b="1397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67.95pt;margin-top:5.65pt;width:0;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qC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"/>
            </w:pict>
          </mc:Fallback>
        </mc:AlternateContent>
      </w:r>
      <w:r w:rsidR="00150BD5" w:rsidRPr="00150BD5">
        <w:rPr>
          <w:rFonts w:asciiTheme="minorHAnsi" w:hAnsiTheme="minorHAnsi" w:cstheme="minorHAnsi"/>
          <w:b/>
          <w:noProof/>
          <w:color w:val="4F81BD" w:themeColor="accent1"/>
          <w:sz w:val="24"/>
          <w:szCs w:val="24"/>
          <w:lang w:val="en-IE" w:eastAsia="en-IE"/>
        </w:rPr>
        <w:drawing>
          <wp:inline distT="0" distB="0" distL="0" distR="0">
            <wp:extent cx="2162175" cy="1800000"/>
            <wp:effectExtent l="0" t="0" r="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150BD5" w:rsidRPr="00150BD5">
        <w:rPr>
          <w:rFonts w:asciiTheme="minorHAnsi" w:hAnsiTheme="minorHAnsi" w:cstheme="minorHAnsi"/>
          <w:b/>
          <w:noProof/>
          <w:color w:val="4F81BD" w:themeColor="accent1"/>
          <w:sz w:val="24"/>
          <w:szCs w:val="24"/>
          <w:lang w:val="en-IE" w:eastAsia="en-IE"/>
        </w:rPr>
        <w:drawing>
          <wp:inline distT="0" distB="0" distL="0" distR="0">
            <wp:extent cx="2162175" cy="1800000"/>
            <wp:effectExtent l="0" t="0" r="0"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91AFF" w:rsidRDefault="00B564CC" w:rsidP="00E16AF0">
      <w:pPr>
        <w:tabs>
          <w:tab w:val="left" w:pos="-180"/>
        </w:tabs>
        <w:suppressAutoHyphens/>
        <w:spacing w:after="120"/>
        <w:rPr>
          <w:rFonts w:asciiTheme="minorHAnsi" w:hAnsiTheme="minorHAnsi" w:cstheme="minorHAnsi"/>
          <w:b/>
          <w:color w:val="4F81BD" w:themeColor="accent1"/>
          <w:sz w:val="24"/>
          <w:szCs w:val="24"/>
        </w:rPr>
      </w:pPr>
      <w:r w:rsidRPr="00B564CC">
        <w:rPr>
          <w:rFonts w:asciiTheme="minorHAnsi" w:hAnsiTheme="minorHAnsi" w:cstheme="minorHAnsi"/>
          <w:b/>
          <w:noProof/>
          <w:color w:val="4F81BD" w:themeColor="accent1"/>
          <w:sz w:val="24"/>
          <w:szCs w:val="24"/>
          <w:lang w:val="en-IE" w:eastAsia="en-IE"/>
        </w:rPr>
        <w:drawing>
          <wp:inline distT="0" distB="0" distL="0" distR="0">
            <wp:extent cx="4410075" cy="324000"/>
            <wp:effectExtent l="0" t="0" r="0" b="0"/>
            <wp:docPr id="1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36611" w:rsidRPr="00036611" w:rsidRDefault="00036611" w:rsidP="008412AA">
      <w:pPr>
        <w:tabs>
          <w:tab w:val="left" w:pos="-180"/>
        </w:tabs>
        <w:suppressAutoHyphens/>
        <w:spacing w:before="240" w:after="120" w:line="288" w:lineRule="auto"/>
        <w:rPr>
          <w:rFonts w:asciiTheme="minorHAnsi" w:hAnsiTheme="minorHAnsi" w:cstheme="minorHAnsi"/>
          <w:sz w:val="22"/>
          <w:szCs w:val="22"/>
        </w:rPr>
      </w:pPr>
      <w:r w:rsidRPr="00036611">
        <w:rPr>
          <w:rFonts w:asciiTheme="minorHAnsi" w:hAnsiTheme="minorHAnsi" w:cstheme="minorHAnsi"/>
          <w:sz w:val="22"/>
          <w:szCs w:val="22"/>
        </w:rPr>
        <w:t xml:space="preserve">A third of respondents (31%) reported having the same amount of sedentary time on weekdays as weekend days, </w:t>
      </w:r>
      <w:r w:rsidR="00FE384A">
        <w:rPr>
          <w:rFonts w:asciiTheme="minorHAnsi" w:hAnsiTheme="minorHAnsi" w:cstheme="minorHAnsi"/>
          <w:sz w:val="22"/>
          <w:szCs w:val="22"/>
        </w:rPr>
        <w:t xml:space="preserve">while </w:t>
      </w:r>
      <w:r w:rsidRPr="00036611">
        <w:rPr>
          <w:rFonts w:asciiTheme="minorHAnsi" w:hAnsiTheme="minorHAnsi" w:cstheme="minorHAnsi"/>
          <w:sz w:val="22"/>
          <w:szCs w:val="22"/>
        </w:rPr>
        <w:t>45% report</w:t>
      </w:r>
      <w:r w:rsidR="00FE384A">
        <w:rPr>
          <w:rFonts w:asciiTheme="minorHAnsi" w:hAnsiTheme="minorHAnsi" w:cstheme="minorHAnsi"/>
          <w:sz w:val="22"/>
          <w:szCs w:val="22"/>
        </w:rPr>
        <w:t>ed</w:t>
      </w:r>
      <w:r w:rsidRPr="00036611">
        <w:rPr>
          <w:rFonts w:asciiTheme="minorHAnsi" w:hAnsiTheme="minorHAnsi" w:cstheme="minorHAnsi"/>
          <w:sz w:val="22"/>
          <w:szCs w:val="22"/>
        </w:rPr>
        <w:t xml:space="preserve"> having more sedentary time at weekends.</w:t>
      </w:r>
    </w:p>
    <w:p w:rsidR="005A3BAC" w:rsidRPr="00740906" w:rsidRDefault="005A3BAC" w:rsidP="009E42A0">
      <w:pPr>
        <w:tabs>
          <w:tab w:val="left" w:pos="-180"/>
        </w:tabs>
        <w:suppressAutoHyphens/>
        <w:spacing w:before="240" w:after="120"/>
        <w:rPr>
          <w:rFonts w:asciiTheme="minorHAnsi" w:hAnsiTheme="minorHAnsi" w:cstheme="minorHAnsi"/>
          <w:b/>
          <w:color w:val="009900"/>
          <w:sz w:val="22"/>
          <w:szCs w:val="22"/>
        </w:rPr>
      </w:pPr>
      <w:r w:rsidRPr="00740906">
        <w:rPr>
          <w:rFonts w:asciiTheme="minorHAnsi" w:hAnsiTheme="minorHAnsi" w:cstheme="minorHAnsi"/>
          <w:b/>
          <w:color w:val="009900"/>
          <w:sz w:val="22"/>
          <w:szCs w:val="22"/>
        </w:rPr>
        <w:t xml:space="preserve">Sedentary </w:t>
      </w:r>
      <w:r w:rsidR="00E32038" w:rsidRPr="00740906">
        <w:rPr>
          <w:rFonts w:asciiTheme="minorHAnsi" w:hAnsiTheme="minorHAnsi" w:cstheme="minorHAnsi"/>
          <w:b/>
          <w:color w:val="009900"/>
          <w:sz w:val="22"/>
          <w:szCs w:val="22"/>
        </w:rPr>
        <w:t>T</w:t>
      </w:r>
      <w:r w:rsidRPr="00740906">
        <w:rPr>
          <w:rFonts w:asciiTheme="minorHAnsi" w:hAnsiTheme="minorHAnsi" w:cstheme="minorHAnsi"/>
          <w:b/>
          <w:color w:val="009900"/>
          <w:sz w:val="22"/>
          <w:szCs w:val="22"/>
        </w:rPr>
        <w:t>ime and BMI</w:t>
      </w:r>
    </w:p>
    <w:p w:rsidR="00880188" w:rsidRPr="004E0D89" w:rsidRDefault="004E0D89" w:rsidP="00B8333A">
      <w:pPr>
        <w:tabs>
          <w:tab w:val="left" w:pos="-180"/>
        </w:tabs>
        <w:suppressAutoHyphens/>
        <w:spacing w:after="120" w:line="288" w:lineRule="auto"/>
        <w:rPr>
          <w:rFonts w:asciiTheme="minorHAnsi" w:hAnsiTheme="minorHAnsi" w:cstheme="minorHAnsi"/>
          <w:sz w:val="22"/>
          <w:szCs w:val="22"/>
        </w:rPr>
      </w:pPr>
      <w:r w:rsidRPr="004E0D89">
        <w:rPr>
          <w:rFonts w:asciiTheme="minorHAnsi" w:hAnsiTheme="minorHAnsi" w:cstheme="minorHAnsi"/>
          <w:sz w:val="22"/>
          <w:szCs w:val="22"/>
        </w:rPr>
        <w:t xml:space="preserve">Respondents in the obese BMI category </w:t>
      </w:r>
      <w:r w:rsidR="005A3BAC">
        <w:rPr>
          <w:rFonts w:asciiTheme="minorHAnsi" w:hAnsiTheme="minorHAnsi" w:cstheme="minorHAnsi"/>
          <w:sz w:val="22"/>
          <w:szCs w:val="22"/>
        </w:rPr>
        <w:t xml:space="preserve">tended to have more </w:t>
      </w:r>
      <w:r w:rsidR="000B2FD9">
        <w:rPr>
          <w:rFonts w:asciiTheme="minorHAnsi" w:hAnsiTheme="minorHAnsi" w:cstheme="minorHAnsi"/>
          <w:sz w:val="22"/>
          <w:szCs w:val="22"/>
        </w:rPr>
        <w:t>sedentary</w:t>
      </w:r>
      <w:r w:rsidR="005A3BAC">
        <w:rPr>
          <w:rFonts w:asciiTheme="minorHAnsi" w:hAnsiTheme="minorHAnsi" w:cstheme="minorHAnsi"/>
          <w:sz w:val="22"/>
          <w:szCs w:val="22"/>
        </w:rPr>
        <w:t xml:space="preserve"> time than those in the normal weight / underweight BMI category.  </w:t>
      </w:r>
      <w:r w:rsidR="00623F48">
        <w:rPr>
          <w:rFonts w:asciiTheme="minorHAnsi" w:hAnsiTheme="minorHAnsi" w:cstheme="minorHAnsi"/>
          <w:sz w:val="22"/>
          <w:szCs w:val="22"/>
        </w:rPr>
        <w:t xml:space="preserve">Almost half of </w:t>
      </w:r>
      <w:r w:rsidR="00623F48">
        <w:rPr>
          <w:rFonts w:asciiTheme="minorHAnsi" w:hAnsiTheme="minorHAnsi" w:cstheme="minorHAnsi"/>
          <w:sz w:val="22"/>
          <w:szCs w:val="22"/>
        </w:rPr>
        <w:lastRenderedPageBreak/>
        <w:t xml:space="preserve">obese respondents </w:t>
      </w:r>
      <w:r w:rsidR="00623F48" w:rsidRPr="004E0D89">
        <w:rPr>
          <w:rFonts w:asciiTheme="minorHAnsi" w:hAnsiTheme="minorHAnsi" w:cstheme="minorHAnsi"/>
          <w:sz w:val="22"/>
          <w:szCs w:val="22"/>
        </w:rPr>
        <w:t xml:space="preserve">(49%) </w:t>
      </w:r>
      <w:r w:rsidR="00623F48">
        <w:rPr>
          <w:rFonts w:asciiTheme="minorHAnsi" w:hAnsiTheme="minorHAnsi" w:cstheme="minorHAnsi"/>
          <w:sz w:val="22"/>
          <w:szCs w:val="22"/>
        </w:rPr>
        <w:t>reported being</w:t>
      </w:r>
      <w:r w:rsidRPr="004E0D89">
        <w:rPr>
          <w:rFonts w:asciiTheme="minorHAnsi" w:hAnsiTheme="minorHAnsi" w:cstheme="minorHAnsi"/>
          <w:sz w:val="22"/>
          <w:szCs w:val="22"/>
        </w:rPr>
        <w:t xml:space="preserve"> </w:t>
      </w:r>
      <w:r w:rsidR="000B2FD9">
        <w:rPr>
          <w:rFonts w:asciiTheme="minorHAnsi" w:hAnsiTheme="minorHAnsi" w:cstheme="minorHAnsi"/>
          <w:sz w:val="22"/>
          <w:szCs w:val="22"/>
        </w:rPr>
        <w:t>sedentary</w:t>
      </w:r>
      <w:r w:rsidRPr="004E0D89">
        <w:rPr>
          <w:rFonts w:asciiTheme="minorHAnsi" w:hAnsiTheme="minorHAnsi" w:cstheme="minorHAnsi"/>
          <w:sz w:val="22"/>
          <w:szCs w:val="22"/>
        </w:rPr>
        <w:t xml:space="preserve"> for </w:t>
      </w:r>
      <w:r w:rsidR="00FE384A">
        <w:rPr>
          <w:rFonts w:asciiTheme="minorHAnsi" w:hAnsiTheme="minorHAnsi" w:cstheme="minorHAnsi"/>
          <w:sz w:val="22"/>
          <w:szCs w:val="22"/>
        </w:rPr>
        <w:t xml:space="preserve">more than </w:t>
      </w:r>
      <w:r w:rsidRPr="004E0D89">
        <w:rPr>
          <w:rFonts w:asciiTheme="minorHAnsi" w:hAnsiTheme="minorHAnsi" w:cstheme="minorHAnsi"/>
          <w:sz w:val="22"/>
          <w:szCs w:val="22"/>
        </w:rPr>
        <w:t>four hours per day on weekdays</w:t>
      </w:r>
      <w:r w:rsidR="00623F48">
        <w:rPr>
          <w:rFonts w:asciiTheme="minorHAnsi" w:hAnsiTheme="minorHAnsi" w:cstheme="minorHAnsi"/>
          <w:sz w:val="22"/>
          <w:szCs w:val="22"/>
        </w:rPr>
        <w:t xml:space="preserve"> </w:t>
      </w:r>
      <w:r w:rsidR="00FE384A">
        <w:rPr>
          <w:rFonts w:asciiTheme="minorHAnsi" w:hAnsiTheme="minorHAnsi" w:cstheme="minorHAnsi"/>
          <w:sz w:val="22"/>
          <w:szCs w:val="22"/>
        </w:rPr>
        <w:t>which</w:t>
      </w:r>
      <w:r w:rsidR="00623F48">
        <w:rPr>
          <w:rFonts w:asciiTheme="minorHAnsi" w:hAnsiTheme="minorHAnsi" w:cstheme="minorHAnsi"/>
          <w:sz w:val="22"/>
          <w:szCs w:val="22"/>
        </w:rPr>
        <w:t xml:space="preserve"> compares with </w:t>
      </w:r>
      <w:r w:rsidR="00FE384A">
        <w:rPr>
          <w:rFonts w:asciiTheme="minorHAnsi" w:hAnsiTheme="minorHAnsi" w:cstheme="minorHAnsi"/>
          <w:sz w:val="22"/>
          <w:szCs w:val="22"/>
        </w:rPr>
        <w:t>37</w:t>
      </w:r>
      <w:r w:rsidR="00FE384A" w:rsidRPr="004E0D89">
        <w:rPr>
          <w:rFonts w:asciiTheme="minorHAnsi" w:hAnsiTheme="minorHAnsi" w:cstheme="minorHAnsi"/>
          <w:sz w:val="22"/>
          <w:szCs w:val="22"/>
        </w:rPr>
        <w:t>%</w:t>
      </w:r>
      <w:r w:rsidR="00623F48">
        <w:rPr>
          <w:rFonts w:asciiTheme="minorHAnsi" w:hAnsiTheme="minorHAnsi" w:cstheme="minorHAnsi"/>
          <w:sz w:val="22"/>
          <w:szCs w:val="22"/>
        </w:rPr>
        <w:t xml:space="preserve"> of respondents in the normal weight / underweight category</w:t>
      </w:r>
      <w:r w:rsidR="00FE384A">
        <w:rPr>
          <w:rFonts w:asciiTheme="minorHAnsi" w:hAnsiTheme="minorHAnsi" w:cstheme="minorHAnsi"/>
          <w:sz w:val="22"/>
          <w:szCs w:val="22"/>
        </w:rPr>
        <w:t>.</w:t>
      </w:r>
      <w:r w:rsidRPr="004E0D89">
        <w:rPr>
          <w:rFonts w:asciiTheme="minorHAnsi" w:hAnsiTheme="minorHAnsi" w:cstheme="minorHAnsi"/>
          <w:sz w:val="22"/>
          <w:szCs w:val="22"/>
        </w:rPr>
        <w:t xml:space="preserve"> </w:t>
      </w:r>
      <w:r w:rsidR="00FE384A">
        <w:rPr>
          <w:rFonts w:asciiTheme="minorHAnsi" w:hAnsiTheme="minorHAnsi" w:cstheme="minorHAnsi"/>
          <w:sz w:val="22"/>
          <w:szCs w:val="22"/>
        </w:rPr>
        <w:t xml:space="preserve"> Similarly </w:t>
      </w:r>
      <w:r w:rsidR="00FE384A" w:rsidRPr="004E0D89">
        <w:rPr>
          <w:rFonts w:asciiTheme="minorHAnsi" w:hAnsiTheme="minorHAnsi" w:cstheme="minorHAnsi"/>
          <w:sz w:val="22"/>
          <w:szCs w:val="22"/>
        </w:rPr>
        <w:t>on weekend days</w:t>
      </w:r>
      <w:r w:rsidR="00FE384A">
        <w:rPr>
          <w:rFonts w:asciiTheme="minorHAnsi" w:hAnsiTheme="minorHAnsi" w:cstheme="minorHAnsi"/>
          <w:sz w:val="22"/>
          <w:szCs w:val="22"/>
        </w:rPr>
        <w:t xml:space="preserve"> a higher proportion of obese respondents </w:t>
      </w:r>
      <w:r w:rsidR="007E1ABE">
        <w:rPr>
          <w:rFonts w:asciiTheme="minorHAnsi" w:hAnsiTheme="minorHAnsi" w:cstheme="minorHAnsi"/>
          <w:sz w:val="22"/>
          <w:szCs w:val="22"/>
        </w:rPr>
        <w:t>(</w:t>
      </w:r>
      <w:r w:rsidR="007E1ABE" w:rsidRPr="004E0D89">
        <w:rPr>
          <w:rFonts w:asciiTheme="minorHAnsi" w:hAnsiTheme="minorHAnsi" w:cstheme="minorHAnsi"/>
          <w:sz w:val="22"/>
          <w:szCs w:val="22"/>
        </w:rPr>
        <w:t>61%</w:t>
      </w:r>
      <w:r w:rsidR="007E1ABE">
        <w:rPr>
          <w:rFonts w:asciiTheme="minorHAnsi" w:hAnsiTheme="minorHAnsi" w:cstheme="minorHAnsi"/>
          <w:sz w:val="22"/>
          <w:szCs w:val="22"/>
        </w:rPr>
        <w:t xml:space="preserve">) </w:t>
      </w:r>
      <w:r w:rsidR="00FE384A">
        <w:rPr>
          <w:rFonts w:asciiTheme="minorHAnsi" w:hAnsiTheme="minorHAnsi" w:cstheme="minorHAnsi"/>
          <w:sz w:val="22"/>
          <w:szCs w:val="22"/>
        </w:rPr>
        <w:t xml:space="preserve">than normal weight / underweight </w:t>
      </w:r>
      <w:r w:rsidR="007E1ABE" w:rsidRPr="004E0D89">
        <w:rPr>
          <w:rFonts w:asciiTheme="minorHAnsi" w:hAnsiTheme="minorHAnsi" w:cstheme="minorHAnsi"/>
          <w:sz w:val="22"/>
          <w:szCs w:val="22"/>
        </w:rPr>
        <w:t>(</w:t>
      </w:r>
      <w:r w:rsidR="007E1ABE">
        <w:rPr>
          <w:rFonts w:asciiTheme="minorHAnsi" w:hAnsiTheme="minorHAnsi" w:cstheme="minorHAnsi"/>
          <w:sz w:val="22"/>
          <w:szCs w:val="22"/>
        </w:rPr>
        <w:t>48</w:t>
      </w:r>
      <w:r w:rsidR="007E1ABE" w:rsidRPr="004E0D89">
        <w:rPr>
          <w:rFonts w:asciiTheme="minorHAnsi" w:hAnsiTheme="minorHAnsi" w:cstheme="minorHAnsi"/>
          <w:sz w:val="22"/>
          <w:szCs w:val="22"/>
        </w:rPr>
        <w:t xml:space="preserve">%) </w:t>
      </w:r>
      <w:r w:rsidR="007E1ABE">
        <w:rPr>
          <w:rFonts w:asciiTheme="minorHAnsi" w:hAnsiTheme="minorHAnsi" w:cstheme="minorHAnsi"/>
          <w:sz w:val="22"/>
          <w:szCs w:val="22"/>
        </w:rPr>
        <w:t xml:space="preserve">were </w:t>
      </w:r>
      <w:r w:rsidR="000B2FD9">
        <w:rPr>
          <w:rFonts w:asciiTheme="minorHAnsi" w:hAnsiTheme="minorHAnsi" w:cstheme="minorHAnsi"/>
          <w:sz w:val="22"/>
          <w:szCs w:val="22"/>
        </w:rPr>
        <w:t>sedentary</w:t>
      </w:r>
      <w:r w:rsidR="00623F48" w:rsidRPr="004E0D89">
        <w:rPr>
          <w:rFonts w:asciiTheme="minorHAnsi" w:hAnsiTheme="minorHAnsi" w:cstheme="minorHAnsi"/>
          <w:sz w:val="22"/>
          <w:szCs w:val="22"/>
        </w:rPr>
        <w:t xml:space="preserve"> for at l</w:t>
      </w:r>
      <w:r w:rsidR="007E1ABE">
        <w:rPr>
          <w:rFonts w:asciiTheme="minorHAnsi" w:hAnsiTheme="minorHAnsi" w:cstheme="minorHAnsi"/>
          <w:sz w:val="22"/>
          <w:szCs w:val="22"/>
        </w:rPr>
        <w:t>east four hours</w:t>
      </w:r>
      <w:r w:rsidR="00FE384A">
        <w:rPr>
          <w:rFonts w:asciiTheme="minorHAnsi" w:hAnsiTheme="minorHAnsi" w:cstheme="minorHAnsi"/>
          <w:sz w:val="22"/>
          <w:szCs w:val="22"/>
        </w:rPr>
        <w:t>.</w:t>
      </w:r>
    </w:p>
    <w:p w:rsidR="00880188" w:rsidRPr="00880188" w:rsidRDefault="00880188" w:rsidP="00880188">
      <w:pPr>
        <w:tabs>
          <w:tab w:val="left" w:pos="-180"/>
        </w:tabs>
        <w:suppressAutoHyphens/>
        <w:spacing w:after="120"/>
        <w:rPr>
          <w:rFonts w:asciiTheme="minorHAnsi" w:hAnsiTheme="minorHAnsi" w:cstheme="minorHAnsi"/>
          <w:b/>
        </w:rPr>
      </w:pPr>
      <w:r>
        <w:rPr>
          <w:rFonts w:asciiTheme="minorHAnsi" w:hAnsiTheme="minorHAnsi" w:cstheme="minorHAnsi"/>
          <w:b/>
        </w:rPr>
        <w:t>Over Four H</w:t>
      </w:r>
      <w:r w:rsidRPr="00880188">
        <w:rPr>
          <w:rFonts w:asciiTheme="minorHAnsi" w:hAnsiTheme="minorHAnsi" w:cstheme="minorHAnsi"/>
          <w:b/>
        </w:rPr>
        <w:t xml:space="preserve">ours of </w:t>
      </w:r>
      <w:r w:rsidR="000B2FD9">
        <w:rPr>
          <w:rFonts w:asciiTheme="minorHAnsi" w:hAnsiTheme="minorHAnsi" w:cstheme="minorHAnsi"/>
          <w:b/>
        </w:rPr>
        <w:t>Sedentary</w:t>
      </w:r>
      <w:r w:rsidRPr="00880188">
        <w:rPr>
          <w:rFonts w:asciiTheme="minorHAnsi" w:hAnsiTheme="minorHAnsi" w:cstheme="minorHAnsi"/>
          <w:b/>
        </w:rPr>
        <w:t xml:space="preserve"> time by BMI Category</w:t>
      </w:r>
    </w:p>
    <w:p w:rsidR="00880188" w:rsidRDefault="00880188" w:rsidP="00E16AF0">
      <w:pPr>
        <w:tabs>
          <w:tab w:val="left" w:pos="-180"/>
        </w:tabs>
        <w:suppressAutoHyphens/>
        <w:spacing w:after="120"/>
        <w:rPr>
          <w:rFonts w:asciiTheme="minorHAnsi" w:hAnsiTheme="minorHAnsi" w:cstheme="minorHAnsi"/>
          <w:b/>
          <w:color w:val="4F81BD" w:themeColor="accent1"/>
          <w:sz w:val="24"/>
          <w:szCs w:val="24"/>
        </w:rPr>
      </w:pPr>
      <w:r w:rsidRPr="00880188">
        <w:rPr>
          <w:rFonts w:asciiTheme="minorHAnsi" w:hAnsiTheme="minorHAnsi" w:cstheme="minorHAnsi"/>
          <w:b/>
          <w:noProof/>
          <w:color w:val="4F81BD" w:themeColor="accent1"/>
          <w:sz w:val="24"/>
          <w:szCs w:val="24"/>
          <w:lang w:val="en-IE" w:eastAsia="en-IE"/>
        </w:rPr>
        <w:drawing>
          <wp:inline distT="0" distB="0" distL="0" distR="0">
            <wp:extent cx="4320000" cy="2524125"/>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A412E" w:rsidRDefault="007A412E" w:rsidP="007A412E">
      <w:pPr>
        <w:pStyle w:val="Heading2"/>
        <w:spacing w:before="0" w:after="60"/>
        <w:rPr>
          <w:rFonts w:asciiTheme="minorHAnsi" w:hAnsiTheme="minorHAnsi" w:cstheme="minorHAnsi"/>
          <w:sz w:val="24"/>
          <w:szCs w:val="24"/>
        </w:rPr>
      </w:pPr>
    </w:p>
    <w:p w:rsidR="008412AA" w:rsidRDefault="008412AA" w:rsidP="007A412E">
      <w:pPr>
        <w:pStyle w:val="Heading2"/>
        <w:spacing w:before="0" w:after="60"/>
        <w:rPr>
          <w:rFonts w:asciiTheme="minorHAnsi" w:hAnsiTheme="minorHAnsi" w:cstheme="minorHAnsi"/>
          <w:sz w:val="24"/>
          <w:szCs w:val="24"/>
        </w:rPr>
        <w:sectPr w:rsidR="008412AA" w:rsidSect="008A2983">
          <w:pgSz w:w="16838" w:h="11906" w:orient="landscape"/>
          <w:pgMar w:top="737" w:right="1247" w:bottom="737" w:left="1247" w:header="454" w:footer="567" w:gutter="0"/>
          <w:cols w:num="2" w:space="454"/>
          <w:docGrid w:linePitch="360"/>
        </w:sectPr>
      </w:pPr>
      <w:bookmarkStart w:id="43" w:name="_Ref381945838"/>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1D7F3A" w:rsidRPr="00DC2342" w:rsidTr="001D7F3A">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FFCCCC"/>
            </w:tcBorders>
            <w:shd w:val="clear" w:color="auto" w:fill="CC0000"/>
            <w:textDirection w:val="btLr"/>
          </w:tcPr>
          <w:p w:rsidR="001D7F3A" w:rsidRPr="001D7F3A" w:rsidRDefault="001D7F3A" w:rsidP="001D7F3A">
            <w:pPr>
              <w:pStyle w:val="Heading2"/>
              <w:spacing w:before="0" w:after="60"/>
              <w:ind w:left="113" w:right="113"/>
              <w:jc w:val="center"/>
              <w:outlineLvl w:val="1"/>
              <w:rPr>
                <w:rFonts w:ascii="Calibri" w:hAnsi="Calibri" w:cs="Calibri"/>
                <w:i/>
                <w:color w:val="FFCCCC"/>
                <w:sz w:val="72"/>
                <w:szCs w:val="72"/>
              </w:rPr>
            </w:pPr>
            <w:bookmarkStart w:id="44" w:name="_Ref382555572"/>
            <w:r>
              <w:rPr>
                <w:rFonts w:ascii="Calibri" w:hAnsi="Calibri" w:cs="Calibri"/>
                <w:i/>
                <w:color w:val="FFCCCC"/>
                <w:sz w:val="72"/>
                <w:szCs w:val="72"/>
              </w:rPr>
              <w:lastRenderedPageBreak/>
              <w:t xml:space="preserve">Child </w:t>
            </w:r>
            <w:r w:rsidRPr="001D7F3A">
              <w:rPr>
                <w:rFonts w:ascii="Calibri" w:hAnsi="Calibri" w:cs="Calibri"/>
                <w:i/>
                <w:color w:val="FFCCCC"/>
                <w:sz w:val="72"/>
                <w:szCs w:val="72"/>
              </w:rPr>
              <w:t>Health</w:t>
            </w:r>
            <w:bookmarkEnd w:id="44"/>
            <w:r w:rsidRPr="001D7F3A">
              <w:rPr>
                <w:rFonts w:ascii="Calibri" w:hAnsi="Calibri" w:cs="Calibri"/>
                <w:i/>
                <w:color w:val="FFCCCC"/>
                <w:sz w:val="72"/>
                <w:szCs w:val="72"/>
              </w:rPr>
              <w:t xml:space="preserve"> </w:t>
            </w:r>
          </w:p>
        </w:tc>
        <w:tc>
          <w:tcPr>
            <w:tcW w:w="5977" w:type="dxa"/>
            <w:tcBorders>
              <w:top w:val="nil"/>
              <w:left w:val="thinThickSmallGap" w:sz="24" w:space="0" w:color="FFCCCC"/>
              <w:bottom w:val="nil"/>
              <w:right w:val="nil"/>
            </w:tcBorders>
            <w:shd w:val="clear" w:color="auto" w:fill="CC0000"/>
            <w:vAlign w:val="center"/>
          </w:tcPr>
          <w:p w:rsidR="001D7F3A" w:rsidRPr="00DC2342" w:rsidRDefault="001D7F3A" w:rsidP="001D7F3A">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1D7F3A" w:rsidRPr="00DC2342" w:rsidTr="001D7F3A">
        <w:trPr>
          <w:cantSplit/>
          <w:trHeight w:val="1928"/>
        </w:trPr>
        <w:tc>
          <w:tcPr>
            <w:tcW w:w="1184" w:type="dxa"/>
            <w:vMerge/>
            <w:tcBorders>
              <w:left w:val="single" w:sz="4" w:space="0" w:color="95B3D7" w:themeColor="accent1" w:themeTint="99"/>
              <w:right w:val="thinThickSmallGap" w:sz="24" w:space="0" w:color="FFCCCC"/>
            </w:tcBorders>
            <w:shd w:val="clear" w:color="auto" w:fill="CC0000"/>
          </w:tcPr>
          <w:p w:rsidR="001D7F3A" w:rsidRPr="006F13A2" w:rsidRDefault="001D7F3A" w:rsidP="00DF488D">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0000"/>
            <w:vAlign w:val="center"/>
          </w:tcPr>
          <w:p w:rsidR="001D7F3A" w:rsidRPr="00DC2342" w:rsidRDefault="001D7F3A" w:rsidP="001D7F3A">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Health in General</w:t>
            </w:r>
          </w:p>
        </w:tc>
      </w:tr>
      <w:tr w:rsidR="001D7F3A" w:rsidRPr="00DC2342" w:rsidTr="001D7F3A">
        <w:trPr>
          <w:cantSplit/>
          <w:trHeight w:val="1928"/>
        </w:trPr>
        <w:tc>
          <w:tcPr>
            <w:tcW w:w="1184" w:type="dxa"/>
            <w:vMerge/>
            <w:tcBorders>
              <w:left w:val="single" w:sz="4" w:space="0" w:color="95B3D7" w:themeColor="accent1" w:themeTint="99"/>
              <w:right w:val="thinThickSmallGap" w:sz="24" w:space="0" w:color="FFCCCC"/>
            </w:tcBorders>
            <w:shd w:val="clear" w:color="auto" w:fill="CC0000"/>
          </w:tcPr>
          <w:p w:rsidR="001D7F3A" w:rsidRPr="006F13A2" w:rsidRDefault="001D7F3A" w:rsidP="00DF488D">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0000"/>
            <w:vAlign w:val="center"/>
          </w:tcPr>
          <w:p w:rsidR="001D7F3A" w:rsidRPr="00DC2342" w:rsidRDefault="001D7F3A" w:rsidP="001D7F3A">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Longstanding illness</w:t>
            </w:r>
          </w:p>
        </w:tc>
      </w:tr>
      <w:tr w:rsidR="001D7F3A" w:rsidRPr="00DC2342" w:rsidTr="001D7F3A">
        <w:trPr>
          <w:cantSplit/>
          <w:trHeight w:val="1928"/>
        </w:trPr>
        <w:tc>
          <w:tcPr>
            <w:tcW w:w="1184" w:type="dxa"/>
            <w:vMerge/>
            <w:tcBorders>
              <w:left w:val="single" w:sz="4" w:space="0" w:color="95B3D7" w:themeColor="accent1" w:themeTint="99"/>
              <w:right w:val="thinThickSmallGap" w:sz="24" w:space="0" w:color="FFCCCC"/>
            </w:tcBorders>
            <w:shd w:val="clear" w:color="auto" w:fill="CC0000"/>
          </w:tcPr>
          <w:p w:rsidR="001D7F3A" w:rsidRPr="006F13A2" w:rsidRDefault="001D7F3A" w:rsidP="00DF488D">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0000"/>
            <w:vAlign w:val="center"/>
          </w:tcPr>
          <w:p w:rsidR="001D7F3A" w:rsidRPr="00DC2342" w:rsidRDefault="001D7F3A" w:rsidP="001D7F3A">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Obesity</w:t>
            </w:r>
          </w:p>
        </w:tc>
      </w:tr>
      <w:tr w:rsidR="001D7F3A" w:rsidRPr="00DC2342" w:rsidTr="001D7F3A">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FFCCCC"/>
            </w:tcBorders>
            <w:shd w:val="clear" w:color="auto" w:fill="CC0000"/>
          </w:tcPr>
          <w:p w:rsidR="001D7F3A" w:rsidRPr="006F13A2" w:rsidRDefault="001D7F3A" w:rsidP="00DF488D">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CC"/>
              <w:bottom w:val="nil"/>
              <w:right w:val="nil"/>
            </w:tcBorders>
            <w:shd w:val="clear" w:color="auto" w:fill="CC0000"/>
            <w:vAlign w:val="center"/>
          </w:tcPr>
          <w:p w:rsidR="001D7F3A" w:rsidRPr="00DC2342" w:rsidRDefault="001D7F3A" w:rsidP="00DF488D">
            <w:pPr>
              <w:pStyle w:val="Heading2"/>
              <w:spacing w:before="0" w:after="60"/>
              <w:outlineLvl w:val="1"/>
              <w:rPr>
                <w:rFonts w:asciiTheme="minorHAnsi" w:hAnsiTheme="minorHAnsi" w:cstheme="minorHAnsi"/>
                <w:i/>
                <w:color w:val="FFFFFF" w:themeColor="background1"/>
                <w:sz w:val="28"/>
                <w:szCs w:val="28"/>
              </w:rPr>
            </w:pPr>
          </w:p>
        </w:tc>
      </w:tr>
    </w:tbl>
    <w:p w:rsidR="001D7F3A" w:rsidRDefault="001D7F3A" w:rsidP="001D7F3A">
      <w:pPr>
        <w:jc w:val="left"/>
        <w:rPr>
          <w:rFonts w:asciiTheme="minorHAnsi" w:hAnsiTheme="minorHAnsi" w:cstheme="minorHAnsi"/>
          <w:i/>
          <w:sz w:val="22"/>
          <w:szCs w:val="22"/>
        </w:rPr>
      </w:pPr>
    </w:p>
    <w:p w:rsidR="001D7F3A" w:rsidRDefault="001D7F3A" w:rsidP="001D7F3A">
      <w:pPr>
        <w:jc w:val="left"/>
        <w:rPr>
          <w:rFonts w:asciiTheme="minorHAnsi" w:hAnsiTheme="minorHAnsi" w:cstheme="minorHAnsi"/>
          <w:i/>
          <w:sz w:val="22"/>
          <w:szCs w:val="22"/>
        </w:rPr>
      </w:pPr>
    </w:p>
    <w:p w:rsidR="001D7F3A" w:rsidRDefault="001D7F3A" w:rsidP="001D7F3A">
      <w:pPr>
        <w:jc w:val="left"/>
        <w:rPr>
          <w:rFonts w:asciiTheme="minorHAnsi" w:hAnsiTheme="minorHAnsi" w:cstheme="minorHAnsi"/>
          <w:i/>
          <w:sz w:val="22"/>
          <w:szCs w:val="22"/>
        </w:rPr>
      </w:pPr>
    </w:p>
    <w:p w:rsidR="001D7F3A" w:rsidRPr="003A7E92" w:rsidRDefault="001D7F3A" w:rsidP="001D7F3A">
      <w:pPr>
        <w:jc w:val="left"/>
        <w:rPr>
          <w:rFonts w:asciiTheme="minorHAnsi" w:hAnsiTheme="minorHAnsi" w:cstheme="minorHAnsi"/>
          <w:i/>
          <w:sz w:val="22"/>
          <w:szCs w:val="22"/>
        </w:rPr>
      </w:pPr>
    </w:p>
    <w:tbl>
      <w:tblPr>
        <w:tblStyle w:val="TableGrid"/>
        <w:tblW w:w="7260" w:type="dxa"/>
        <w:tblLook w:val="04A0" w:firstRow="1" w:lastRow="0" w:firstColumn="1" w:lastColumn="0" w:noHBand="0" w:noVBand="1"/>
      </w:tblPr>
      <w:tblGrid>
        <w:gridCol w:w="1432"/>
        <w:gridCol w:w="1432"/>
        <w:gridCol w:w="1432"/>
        <w:gridCol w:w="1432"/>
        <w:gridCol w:w="99"/>
        <w:gridCol w:w="1334"/>
        <w:gridCol w:w="99"/>
      </w:tblGrid>
      <w:tr w:rsidR="001D7F3A" w:rsidRPr="003A7E92" w:rsidTr="00A9317D">
        <w:trPr>
          <w:gridAfter w:val="1"/>
          <w:wAfter w:w="99" w:type="dxa"/>
          <w:trHeight w:val="1361"/>
        </w:trPr>
        <w:tc>
          <w:tcPr>
            <w:tcW w:w="2864" w:type="dxa"/>
            <w:gridSpan w:val="2"/>
            <w:tcBorders>
              <w:top w:val="nil"/>
              <w:left w:val="nil"/>
              <w:bottom w:val="nil"/>
              <w:right w:val="nil"/>
            </w:tcBorders>
            <w:shd w:val="clear" w:color="auto" w:fill="CC0000"/>
            <w:vAlign w:val="center"/>
          </w:tcPr>
          <w:p w:rsidR="001D7F3A" w:rsidRPr="00C84166" w:rsidRDefault="00C84166" w:rsidP="00C84166">
            <w:pPr>
              <w:jc w:val="left"/>
              <w:rPr>
                <w:rFonts w:asciiTheme="minorHAnsi" w:hAnsiTheme="minorHAnsi" w:cstheme="minorHAnsi"/>
                <w:b/>
                <w:i/>
                <w:color w:val="FFFFFF" w:themeColor="background1"/>
                <w:sz w:val="22"/>
                <w:szCs w:val="22"/>
              </w:rPr>
            </w:pPr>
            <w:r w:rsidRPr="00C84166">
              <w:rPr>
                <w:rFonts w:asciiTheme="minorHAnsi" w:hAnsiTheme="minorHAnsi" w:cstheme="minorHAnsi"/>
                <w:i/>
                <w:color w:val="FFFFFF" w:themeColor="background1"/>
                <w:sz w:val="22"/>
                <w:szCs w:val="22"/>
              </w:rPr>
              <w:t>90% of children aged 8-15 stated that they were not trying to change their weight</w:t>
            </w: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2865" w:type="dxa"/>
            <w:gridSpan w:val="3"/>
            <w:vMerge w:val="restart"/>
            <w:tcBorders>
              <w:top w:val="nil"/>
              <w:left w:val="nil"/>
              <w:bottom w:val="nil"/>
              <w:right w:val="nil"/>
            </w:tcBorders>
            <w:shd w:val="clear" w:color="auto" w:fill="800000"/>
            <w:vAlign w:val="center"/>
          </w:tcPr>
          <w:p w:rsidR="001D7F3A" w:rsidRPr="00A9317D" w:rsidRDefault="00A9317D" w:rsidP="00A9317D">
            <w:pPr>
              <w:jc w:val="left"/>
              <w:rPr>
                <w:rFonts w:asciiTheme="minorHAnsi" w:hAnsiTheme="minorHAnsi" w:cstheme="minorHAnsi"/>
                <w:b/>
                <w:i/>
                <w:color w:val="FFFFFF" w:themeColor="background1"/>
                <w:sz w:val="28"/>
                <w:szCs w:val="28"/>
              </w:rPr>
            </w:pPr>
            <w:r w:rsidRPr="00A9317D">
              <w:rPr>
                <w:rFonts w:asciiTheme="minorHAnsi" w:hAnsiTheme="minorHAnsi" w:cstheme="minorHAnsi"/>
                <w:b/>
                <w:i/>
                <w:sz w:val="28"/>
                <w:szCs w:val="28"/>
              </w:rPr>
              <w:t>75% of children aged 2-10 years old were either underweight or normal weight, while 19% were overweight and 6% were obese</w:t>
            </w:r>
          </w:p>
        </w:tc>
      </w:tr>
      <w:tr w:rsidR="001D7F3A" w:rsidRPr="003A7E92" w:rsidTr="00A9317D">
        <w:trPr>
          <w:gridAfter w:val="1"/>
          <w:wAfter w:w="99" w:type="dxa"/>
          <w:trHeight w:val="1020"/>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2865" w:type="dxa"/>
            <w:gridSpan w:val="3"/>
            <w:vMerge/>
            <w:tcBorders>
              <w:top w:val="nil"/>
              <w:left w:val="nil"/>
              <w:bottom w:val="nil"/>
              <w:right w:val="nil"/>
            </w:tcBorders>
            <w:shd w:val="clear" w:color="auto" w:fill="800000"/>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340"/>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1587"/>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7C80"/>
            <w:vAlign w:val="center"/>
          </w:tcPr>
          <w:p w:rsidR="001D7F3A" w:rsidRPr="00167E5E" w:rsidRDefault="001D7F3A" w:rsidP="00167E5E">
            <w:pPr>
              <w:jc w:val="left"/>
              <w:rPr>
                <w:rFonts w:asciiTheme="minorHAnsi" w:hAnsiTheme="minorHAnsi" w:cstheme="minorHAnsi"/>
                <w:b/>
                <w:i/>
                <w:color w:val="FFFFFF" w:themeColor="background1"/>
                <w:sz w:val="28"/>
                <w:szCs w:val="28"/>
              </w:rPr>
            </w:pPr>
            <w:r w:rsidRPr="00167E5E">
              <w:rPr>
                <w:rFonts w:asciiTheme="minorHAnsi" w:hAnsiTheme="minorHAnsi" w:cstheme="minorHAnsi"/>
                <w:b/>
                <w:i/>
                <w:color w:val="FFFFFF" w:themeColor="background1"/>
                <w:sz w:val="28"/>
                <w:szCs w:val="28"/>
              </w:rPr>
              <w:t xml:space="preserve">92% of children were reported as having good or very </w:t>
            </w:r>
            <w:r w:rsidR="00167E5E" w:rsidRPr="00167E5E">
              <w:rPr>
                <w:rFonts w:asciiTheme="minorHAnsi" w:hAnsiTheme="minorHAnsi" w:cstheme="minorHAnsi"/>
                <w:b/>
                <w:i/>
                <w:color w:val="FFFFFF" w:themeColor="background1"/>
                <w:sz w:val="28"/>
                <w:szCs w:val="28"/>
              </w:rPr>
              <w:t>good</w:t>
            </w:r>
            <w:r w:rsidRPr="00167E5E">
              <w:rPr>
                <w:rFonts w:asciiTheme="minorHAnsi" w:hAnsiTheme="minorHAnsi" w:cstheme="minorHAnsi"/>
                <w:b/>
                <w:i/>
                <w:color w:val="FFFFFF" w:themeColor="background1"/>
                <w:sz w:val="28"/>
                <w:szCs w:val="28"/>
              </w:rPr>
              <w:t xml:space="preserve"> health</w:t>
            </w:r>
          </w:p>
        </w:tc>
        <w:tc>
          <w:tcPr>
            <w:tcW w:w="1433" w:type="dxa"/>
            <w:gridSpan w:val="2"/>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510"/>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trHeight w:val="1361"/>
        </w:trPr>
        <w:tc>
          <w:tcPr>
            <w:tcW w:w="2864" w:type="dxa"/>
            <w:gridSpan w:val="2"/>
            <w:vMerge w:val="restart"/>
            <w:tcBorders>
              <w:top w:val="nil"/>
              <w:left w:val="nil"/>
              <w:bottom w:val="nil"/>
              <w:right w:val="nil"/>
            </w:tcBorders>
            <w:shd w:val="clear" w:color="auto" w:fill="FFCCCC"/>
            <w:vAlign w:val="center"/>
          </w:tcPr>
          <w:p w:rsidR="001D7F3A" w:rsidRPr="00C84166" w:rsidRDefault="00C84166" w:rsidP="00C84166">
            <w:pPr>
              <w:jc w:val="left"/>
              <w:rPr>
                <w:rFonts w:asciiTheme="minorHAnsi" w:hAnsiTheme="minorHAnsi" w:cstheme="minorHAnsi"/>
                <w:i/>
                <w:color w:val="600000"/>
                <w:sz w:val="28"/>
                <w:szCs w:val="28"/>
              </w:rPr>
            </w:pPr>
            <w:r w:rsidRPr="00C84166">
              <w:rPr>
                <w:rFonts w:asciiTheme="minorHAnsi" w:hAnsiTheme="minorHAnsi" w:cstheme="minorHAnsi"/>
                <w:i/>
                <w:color w:val="600000"/>
                <w:sz w:val="28"/>
                <w:szCs w:val="28"/>
              </w:rPr>
              <w:t xml:space="preserve">11% </w:t>
            </w:r>
            <w:r>
              <w:rPr>
                <w:rFonts w:asciiTheme="minorHAnsi" w:hAnsiTheme="minorHAnsi" w:cstheme="minorHAnsi"/>
                <w:i/>
                <w:color w:val="600000"/>
                <w:sz w:val="28"/>
                <w:szCs w:val="28"/>
              </w:rPr>
              <w:t xml:space="preserve">of children </w:t>
            </w:r>
            <w:r w:rsidRPr="00C84166">
              <w:rPr>
                <w:rFonts w:asciiTheme="minorHAnsi" w:hAnsiTheme="minorHAnsi" w:cstheme="minorHAnsi"/>
                <w:i/>
                <w:color w:val="600000"/>
                <w:sz w:val="28"/>
                <w:szCs w:val="28"/>
              </w:rPr>
              <w:t>were seen by a doctor at least once over the prior two weeks</w:t>
            </w: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531" w:type="dxa"/>
            <w:gridSpan w:val="2"/>
            <w:tcBorders>
              <w:top w:val="nil"/>
              <w:left w:val="nil"/>
              <w:bottom w:val="nil"/>
              <w:right w:val="nil"/>
            </w:tcBorders>
            <w:shd w:val="clear" w:color="auto" w:fill="600000"/>
            <w:vAlign w:val="center"/>
          </w:tcPr>
          <w:p w:rsidR="001D7F3A" w:rsidRPr="00A9317D" w:rsidRDefault="00A9317D" w:rsidP="00A9317D">
            <w:pPr>
              <w:jc w:val="left"/>
              <w:rPr>
                <w:rFonts w:asciiTheme="minorHAnsi" w:hAnsiTheme="minorHAnsi" w:cstheme="minorHAnsi"/>
                <w:b/>
                <w:i/>
                <w:color w:val="FFFFFF" w:themeColor="background1"/>
              </w:rPr>
            </w:pPr>
            <w:r w:rsidRPr="00A9317D">
              <w:rPr>
                <w:rFonts w:asciiTheme="minorHAnsi" w:hAnsiTheme="minorHAnsi" w:cstheme="minorHAnsi"/>
                <w:i/>
              </w:rPr>
              <w:t>6%</w:t>
            </w:r>
            <w:r>
              <w:rPr>
                <w:rFonts w:asciiTheme="minorHAnsi" w:hAnsiTheme="minorHAnsi" w:cstheme="minorHAnsi"/>
                <w:i/>
              </w:rPr>
              <w:t xml:space="preserve"> of children were reported to have A</w:t>
            </w:r>
            <w:r w:rsidRPr="00A9317D">
              <w:rPr>
                <w:rFonts w:asciiTheme="minorHAnsi" w:hAnsiTheme="minorHAnsi" w:cstheme="minorHAnsi"/>
                <w:i/>
              </w:rPr>
              <w:t xml:space="preserve">sthma  </w:t>
            </w:r>
          </w:p>
        </w:tc>
        <w:tc>
          <w:tcPr>
            <w:tcW w:w="1433" w:type="dxa"/>
            <w:gridSpan w:val="2"/>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567"/>
        </w:trPr>
        <w:tc>
          <w:tcPr>
            <w:tcW w:w="2864" w:type="dxa"/>
            <w:gridSpan w:val="2"/>
            <w:vMerge/>
            <w:tcBorders>
              <w:top w:val="nil"/>
              <w:left w:val="nil"/>
              <w:bottom w:val="nil"/>
              <w:right w:val="nil"/>
            </w:tcBorders>
            <w:shd w:val="clear" w:color="auto" w:fill="FFCCCC"/>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283"/>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r>
      <w:tr w:rsidR="001D7F3A" w:rsidRPr="003A7E92" w:rsidTr="00A9317D">
        <w:trPr>
          <w:gridAfter w:val="1"/>
          <w:wAfter w:w="99" w:type="dxa"/>
          <w:trHeight w:val="1701"/>
        </w:trPr>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1D7F3A" w:rsidRPr="003A7E92" w:rsidRDefault="001D7F3A" w:rsidP="00DF488D">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5050"/>
            <w:vAlign w:val="center"/>
          </w:tcPr>
          <w:p w:rsidR="001D7F3A" w:rsidRPr="00C84166" w:rsidRDefault="00A9317D" w:rsidP="00C84166">
            <w:pPr>
              <w:jc w:val="left"/>
              <w:rPr>
                <w:rFonts w:asciiTheme="minorHAnsi" w:hAnsiTheme="minorHAnsi" w:cstheme="minorHAnsi"/>
                <w:b/>
                <w:i/>
                <w:color w:val="FFFFFF" w:themeColor="background1"/>
                <w:sz w:val="22"/>
                <w:szCs w:val="22"/>
              </w:rPr>
            </w:pPr>
            <w:r w:rsidRPr="00C84166">
              <w:rPr>
                <w:rFonts w:asciiTheme="minorHAnsi" w:hAnsiTheme="minorHAnsi" w:cstheme="minorHAnsi"/>
                <w:i/>
                <w:color w:val="FFFFFF" w:themeColor="background1"/>
                <w:sz w:val="22"/>
                <w:szCs w:val="22"/>
              </w:rPr>
              <w:t>89% of parents of children living in the most deprived areas describe</w:t>
            </w:r>
            <w:r w:rsidR="00C84166" w:rsidRPr="00C84166">
              <w:rPr>
                <w:rFonts w:asciiTheme="minorHAnsi" w:hAnsiTheme="minorHAnsi" w:cstheme="minorHAnsi"/>
                <w:i/>
                <w:color w:val="FFFFFF" w:themeColor="background1"/>
                <w:sz w:val="22"/>
                <w:szCs w:val="22"/>
              </w:rPr>
              <w:t>d</w:t>
            </w:r>
            <w:r w:rsidRPr="00C84166">
              <w:rPr>
                <w:rFonts w:asciiTheme="minorHAnsi" w:hAnsiTheme="minorHAnsi" w:cstheme="minorHAnsi"/>
                <w:i/>
                <w:color w:val="FFFFFF" w:themeColor="background1"/>
                <w:sz w:val="22"/>
                <w:szCs w:val="22"/>
              </w:rPr>
              <w:t xml:space="preserve"> their children’s health as very good or good </w:t>
            </w:r>
            <w:r w:rsidR="00C84166" w:rsidRPr="00C84166">
              <w:rPr>
                <w:rFonts w:asciiTheme="minorHAnsi" w:hAnsiTheme="minorHAnsi" w:cstheme="minorHAnsi"/>
                <w:i/>
                <w:color w:val="FFFFFF" w:themeColor="background1"/>
                <w:sz w:val="22"/>
                <w:szCs w:val="22"/>
              </w:rPr>
              <w:t>compared with 96% of</w:t>
            </w:r>
            <w:r w:rsidRPr="00C84166">
              <w:rPr>
                <w:rFonts w:asciiTheme="minorHAnsi" w:hAnsiTheme="minorHAnsi" w:cstheme="minorHAnsi"/>
                <w:i/>
                <w:color w:val="FFFFFF" w:themeColor="background1"/>
                <w:sz w:val="22"/>
                <w:szCs w:val="22"/>
              </w:rPr>
              <w:t xml:space="preserve"> those in the least deprived areas </w:t>
            </w:r>
          </w:p>
        </w:tc>
      </w:tr>
    </w:tbl>
    <w:p w:rsidR="001D7F3A" w:rsidRDefault="001D7F3A" w:rsidP="001D7F3A">
      <w:pPr>
        <w:pStyle w:val="Heading2"/>
        <w:spacing w:before="0" w:after="60"/>
        <w:rPr>
          <w:rFonts w:asciiTheme="minorHAnsi" w:hAnsiTheme="minorHAnsi" w:cstheme="minorHAnsi"/>
          <w:sz w:val="24"/>
          <w:szCs w:val="24"/>
        </w:rPr>
        <w:sectPr w:rsidR="001D7F3A" w:rsidSect="007033B0">
          <w:pgSz w:w="16838" w:h="11906" w:orient="landscape"/>
          <w:pgMar w:top="737" w:right="1247" w:bottom="737" w:left="1247" w:header="454" w:footer="567" w:gutter="0"/>
          <w:cols w:num="2" w:space="454"/>
          <w:docGrid w:linePitch="360"/>
        </w:sectPr>
      </w:pPr>
    </w:p>
    <w:p w:rsidR="00F66540" w:rsidRPr="001D7F3A" w:rsidRDefault="00F66540" w:rsidP="00AD2B70">
      <w:pPr>
        <w:pStyle w:val="Heading2"/>
        <w:spacing w:before="0" w:after="120"/>
        <w:rPr>
          <w:rFonts w:asciiTheme="minorHAnsi" w:hAnsiTheme="minorHAnsi" w:cstheme="minorHAnsi"/>
          <w:color w:val="CC0000"/>
          <w:sz w:val="24"/>
          <w:szCs w:val="24"/>
        </w:rPr>
      </w:pPr>
      <w:r w:rsidRPr="001D7F3A">
        <w:rPr>
          <w:rFonts w:asciiTheme="minorHAnsi" w:hAnsiTheme="minorHAnsi" w:cstheme="minorHAnsi"/>
          <w:color w:val="CC0000"/>
          <w:sz w:val="24"/>
          <w:szCs w:val="24"/>
        </w:rPr>
        <w:lastRenderedPageBreak/>
        <w:t>Child Health</w:t>
      </w:r>
      <w:bookmarkEnd w:id="43"/>
    </w:p>
    <w:p w:rsidR="009C0866" w:rsidRDefault="009C0866" w:rsidP="00AD2B70">
      <w:pPr>
        <w:tabs>
          <w:tab w:val="center" w:pos="4075"/>
        </w:tabs>
        <w:autoSpaceDE w:val="0"/>
        <w:autoSpaceDN w:val="0"/>
        <w:adjustRightInd w:val="0"/>
        <w:spacing w:after="120" w:line="288" w:lineRule="auto"/>
        <w:rPr>
          <w:rFonts w:asciiTheme="minorHAnsi" w:hAnsiTheme="minorHAnsi" w:cstheme="minorHAnsi"/>
          <w:sz w:val="22"/>
          <w:szCs w:val="22"/>
        </w:rPr>
      </w:pPr>
      <w:r w:rsidRPr="009C0866">
        <w:rPr>
          <w:rFonts w:asciiTheme="minorHAnsi" w:hAnsiTheme="minorHAnsi" w:cstheme="minorHAnsi"/>
          <w:sz w:val="22"/>
          <w:szCs w:val="22"/>
        </w:rPr>
        <w:t xml:space="preserve">Parents were asked </w:t>
      </w:r>
      <w:r>
        <w:rPr>
          <w:rFonts w:asciiTheme="minorHAnsi" w:hAnsiTheme="minorHAnsi" w:cstheme="minorHAnsi"/>
          <w:sz w:val="22"/>
          <w:szCs w:val="22"/>
        </w:rPr>
        <w:t xml:space="preserve">to comment </w:t>
      </w:r>
      <w:r w:rsidRPr="009C0866">
        <w:rPr>
          <w:rFonts w:asciiTheme="minorHAnsi" w:hAnsiTheme="minorHAnsi" w:cstheme="minorHAnsi"/>
          <w:sz w:val="22"/>
          <w:szCs w:val="22"/>
        </w:rPr>
        <w:t xml:space="preserve">about the </w:t>
      </w:r>
      <w:r w:rsidR="000B396F">
        <w:rPr>
          <w:rFonts w:asciiTheme="minorHAnsi" w:hAnsiTheme="minorHAnsi" w:cstheme="minorHAnsi"/>
          <w:sz w:val="22"/>
          <w:szCs w:val="22"/>
        </w:rPr>
        <w:t xml:space="preserve">general </w:t>
      </w:r>
      <w:r w:rsidRPr="009C0866">
        <w:rPr>
          <w:rFonts w:asciiTheme="minorHAnsi" w:hAnsiTheme="minorHAnsi" w:cstheme="minorHAnsi"/>
          <w:sz w:val="22"/>
          <w:szCs w:val="22"/>
        </w:rPr>
        <w:t>health of their children</w:t>
      </w:r>
      <w:r w:rsidR="000B396F">
        <w:rPr>
          <w:rFonts w:asciiTheme="minorHAnsi" w:hAnsiTheme="minorHAnsi" w:cstheme="minorHAnsi"/>
          <w:sz w:val="22"/>
          <w:szCs w:val="22"/>
        </w:rPr>
        <w:t xml:space="preserve">, including providing information on </w:t>
      </w:r>
      <w:r w:rsidR="000B396F" w:rsidRPr="009B1C0F">
        <w:rPr>
          <w:rFonts w:ascii="Calibri" w:hAnsi="Calibri" w:cs="Calibri"/>
          <w:sz w:val="22"/>
          <w:szCs w:val="22"/>
        </w:rPr>
        <w:t>longstanding illnesses</w:t>
      </w:r>
      <w:r w:rsidRPr="009C0866">
        <w:rPr>
          <w:rFonts w:asciiTheme="minorHAnsi" w:hAnsiTheme="minorHAnsi" w:cstheme="minorHAnsi"/>
          <w:sz w:val="22"/>
          <w:szCs w:val="22"/>
        </w:rPr>
        <w:t xml:space="preserve">.  </w:t>
      </w:r>
      <w:r w:rsidR="00773C62">
        <w:rPr>
          <w:rFonts w:asciiTheme="minorHAnsi" w:hAnsiTheme="minorHAnsi" w:cstheme="minorHAnsi"/>
          <w:sz w:val="22"/>
          <w:szCs w:val="22"/>
        </w:rPr>
        <w:t>In total, parents commented on the health of 1,662 children.</w:t>
      </w:r>
    </w:p>
    <w:p w:rsidR="00F66540" w:rsidRPr="001D7F3A" w:rsidRDefault="0095371B" w:rsidP="00AD2B70">
      <w:pPr>
        <w:tabs>
          <w:tab w:val="left" w:pos="-180"/>
        </w:tabs>
        <w:suppressAutoHyphens/>
        <w:spacing w:before="240" w:after="120"/>
        <w:rPr>
          <w:rFonts w:asciiTheme="minorHAnsi" w:hAnsiTheme="minorHAnsi" w:cstheme="minorHAnsi"/>
          <w:b/>
          <w:color w:val="CC0000"/>
          <w:sz w:val="22"/>
          <w:szCs w:val="22"/>
        </w:rPr>
      </w:pPr>
      <w:r w:rsidRPr="001D7F3A">
        <w:rPr>
          <w:rFonts w:asciiTheme="minorHAnsi" w:hAnsiTheme="minorHAnsi" w:cstheme="minorHAnsi"/>
          <w:b/>
          <w:color w:val="CC0000"/>
          <w:sz w:val="22"/>
          <w:szCs w:val="22"/>
        </w:rPr>
        <w:t xml:space="preserve">Child </w:t>
      </w:r>
      <w:r w:rsidR="009C0866" w:rsidRPr="001D7F3A">
        <w:rPr>
          <w:rFonts w:asciiTheme="minorHAnsi" w:hAnsiTheme="minorHAnsi" w:cstheme="minorHAnsi"/>
          <w:b/>
          <w:color w:val="CC0000"/>
          <w:sz w:val="22"/>
          <w:szCs w:val="22"/>
        </w:rPr>
        <w:t>Health in General</w:t>
      </w:r>
    </w:p>
    <w:p w:rsidR="00773C62" w:rsidRDefault="00773C62" w:rsidP="00AD2B70">
      <w:pPr>
        <w:tabs>
          <w:tab w:val="center" w:pos="4075"/>
        </w:tabs>
        <w:autoSpaceDE w:val="0"/>
        <w:autoSpaceDN w:val="0"/>
        <w:adjustRightInd w:val="0"/>
        <w:spacing w:after="120" w:line="288" w:lineRule="auto"/>
        <w:rPr>
          <w:rFonts w:asciiTheme="minorHAnsi" w:hAnsiTheme="minorHAnsi" w:cstheme="minorHAnsi"/>
          <w:sz w:val="22"/>
          <w:szCs w:val="22"/>
        </w:rPr>
      </w:pPr>
      <w:r w:rsidRPr="009C0866">
        <w:rPr>
          <w:rFonts w:asciiTheme="minorHAnsi" w:hAnsiTheme="minorHAnsi" w:cstheme="minorHAnsi"/>
          <w:sz w:val="22"/>
          <w:szCs w:val="22"/>
        </w:rPr>
        <w:t xml:space="preserve">For the majority of children (92%), their health was </w:t>
      </w:r>
      <w:r w:rsidR="00464544" w:rsidRPr="009C0866">
        <w:rPr>
          <w:rFonts w:asciiTheme="minorHAnsi" w:hAnsiTheme="minorHAnsi" w:cstheme="minorHAnsi"/>
          <w:sz w:val="22"/>
          <w:szCs w:val="22"/>
        </w:rPr>
        <w:t xml:space="preserve">reported </w:t>
      </w:r>
      <w:r w:rsidR="00464544">
        <w:rPr>
          <w:rFonts w:asciiTheme="minorHAnsi" w:hAnsiTheme="minorHAnsi" w:cstheme="minorHAnsi"/>
          <w:sz w:val="22"/>
          <w:szCs w:val="22"/>
        </w:rPr>
        <w:t xml:space="preserve">as </w:t>
      </w:r>
      <w:r w:rsidRPr="009C0866">
        <w:rPr>
          <w:rFonts w:asciiTheme="minorHAnsi" w:hAnsiTheme="minorHAnsi" w:cstheme="minorHAnsi"/>
          <w:sz w:val="22"/>
          <w:szCs w:val="22"/>
        </w:rPr>
        <w:t xml:space="preserve">very good </w:t>
      </w:r>
      <w:r>
        <w:rPr>
          <w:rFonts w:asciiTheme="minorHAnsi" w:hAnsiTheme="minorHAnsi" w:cstheme="minorHAnsi"/>
          <w:sz w:val="22"/>
          <w:szCs w:val="22"/>
        </w:rPr>
        <w:t xml:space="preserve">(62%) </w:t>
      </w:r>
      <w:r w:rsidRPr="009C0866">
        <w:rPr>
          <w:rFonts w:asciiTheme="minorHAnsi" w:hAnsiTheme="minorHAnsi" w:cstheme="minorHAnsi"/>
          <w:sz w:val="22"/>
          <w:szCs w:val="22"/>
        </w:rPr>
        <w:t>or good</w:t>
      </w:r>
      <w:r>
        <w:rPr>
          <w:rFonts w:asciiTheme="minorHAnsi" w:hAnsiTheme="minorHAnsi" w:cstheme="minorHAnsi"/>
          <w:sz w:val="22"/>
          <w:szCs w:val="22"/>
        </w:rPr>
        <w:t xml:space="preserve"> (30%)</w:t>
      </w:r>
      <w:r w:rsidR="00464544">
        <w:rPr>
          <w:rFonts w:asciiTheme="minorHAnsi" w:hAnsiTheme="minorHAnsi" w:cstheme="minorHAnsi"/>
          <w:sz w:val="22"/>
          <w:szCs w:val="22"/>
        </w:rPr>
        <w:t xml:space="preserve">.  Only </w:t>
      </w:r>
      <w:r w:rsidRPr="009C0866">
        <w:rPr>
          <w:rFonts w:asciiTheme="minorHAnsi" w:hAnsiTheme="minorHAnsi" w:cstheme="minorHAnsi"/>
          <w:sz w:val="22"/>
          <w:szCs w:val="22"/>
        </w:rPr>
        <w:t xml:space="preserve">2% </w:t>
      </w:r>
      <w:r w:rsidR="00464544">
        <w:rPr>
          <w:rFonts w:asciiTheme="minorHAnsi" w:hAnsiTheme="minorHAnsi" w:cstheme="minorHAnsi"/>
          <w:sz w:val="22"/>
          <w:szCs w:val="22"/>
        </w:rPr>
        <w:t xml:space="preserve">of children were reported as having </w:t>
      </w:r>
      <w:r w:rsidRPr="009C0866">
        <w:rPr>
          <w:rFonts w:asciiTheme="minorHAnsi" w:hAnsiTheme="minorHAnsi" w:cstheme="minorHAnsi"/>
          <w:sz w:val="22"/>
          <w:szCs w:val="22"/>
        </w:rPr>
        <w:t>bad or very bad</w:t>
      </w:r>
      <w:r w:rsidR="00464544">
        <w:rPr>
          <w:rFonts w:asciiTheme="minorHAnsi" w:hAnsiTheme="minorHAnsi" w:cstheme="minorHAnsi"/>
          <w:sz w:val="22"/>
          <w:szCs w:val="22"/>
        </w:rPr>
        <w:t xml:space="preserve"> health</w:t>
      </w:r>
      <w:r w:rsidRPr="009C0866">
        <w:rPr>
          <w:rFonts w:asciiTheme="minorHAnsi" w:hAnsiTheme="minorHAnsi" w:cstheme="minorHAnsi"/>
          <w:sz w:val="22"/>
          <w:szCs w:val="22"/>
        </w:rPr>
        <w:t>.</w:t>
      </w:r>
      <w:r>
        <w:rPr>
          <w:rFonts w:asciiTheme="minorHAnsi" w:hAnsiTheme="minorHAnsi" w:cstheme="minorHAnsi"/>
          <w:sz w:val="22"/>
          <w:szCs w:val="22"/>
        </w:rPr>
        <w:t xml:space="preserve">  The </w:t>
      </w:r>
      <w:r w:rsidR="00790432">
        <w:rPr>
          <w:rFonts w:asciiTheme="minorHAnsi" w:hAnsiTheme="minorHAnsi" w:cstheme="minorHAnsi"/>
          <w:sz w:val="22"/>
          <w:szCs w:val="22"/>
        </w:rPr>
        <w:t xml:space="preserve">general health </w:t>
      </w:r>
      <w:r w:rsidR="00464544">
        <w:rPr>
          <w:rFonts w:asciiTheme="minorHAnsi" w:hAnsiTheme="minorHAnsi" w:cstheme="minorHAnsi"/>
          <w:sz w:val="22"/>
          <w:szCs w:val="22"/>
        </w:rPr>
        <w:t xml:space="preserve">profile </w:t>
      </w:r>
      <w:r w:rsidR="00790432">
        <w:rPr>
          <w:rFonts w:asciiTheme="minorHAnsi" w:hAnsiTheme="minorHAnsi" w:cstheme="minorHAnsi"/>
          <w:sz w:val="22"/>
          <w:szCs w:val="22"/>
        </w:rPr>
        <w:t xml:space="preserve">reported for children </w:t>
      </w:r>
      <w:r w:rsidR="00464544">
        <w:rPr>
          <w:rFonts w:asciiTheme="minorHAnsi" w:hAnsiTheme="minorHAnsi" w:cstheme="minorHAnsi"/>
          <w:sz w:val="22"/>
          <w:szCs w:val="22"/>
        </w:rPr>
        <w:t>living in urban and rural areas,</w:t>
      </w:r>
      <w:r w:rsidR="00790432">
        <w:rPr>
          <w:rFonts w:asciiTheme="minorHAnsi" w:hAnsiTheme="minorHAnsi" w:cstheme="minorHAnsi"/>
          <w:sz w:val="22"/>
          <w:szCs w:val="22"/>
        </w:rPr>
        <w:t xml:space="preserve"> or by Trust area</w:t>
      </w:r>
      <w:r w:rsidR="00464544">
        <w:rPr>
          <w:rFonts w:asciiTheme="minorHAnsi" w:hAnsiTheme="minorHAnsi" w:cstheme="minorHAnsi"/>
          <w:sz w:val="22"/>
          <w:szCs w:val="22"/>
        </w:rPr>
        <w:t xml:space="preserve"> was broadly similar</w:t>
      </w:r>
      <w:r w:rsidR="00790432">
        <w:rPr>
          <w:rFonts w:asciiTheme="minorHAnsi" w:hAnsiTheme="minorHAnsi" w:cstheme="minorHAnsi"/>
          <w:sz w:val="22"/>
          <w:szCs w:val="22"/>
        </w:rPr>
        <w:t xml:space="preserve">.  </w:t>
      </w:r>
    </w:p>
    <w:p w:rsidR="00790432" w:rsidRPr="009C0866" w:rsidRDefault="00790432"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Parents of children living in the most deprived areas were less likely to describe their children’s health as very good or good (89%) than those in the least deprived areas (96%) and more likely to describe their children’s health as bad or very bad (3%) than those in the least deprived areas (1%).</w:t>
      </w:r>
    </w:p>
    <w:p w:rsidR="00F66540" w:rsidRPr="001D7F3A" w:rsidRDefault="0095371B" w:rsidP="00AD2B70">
      <w:pPr>
        <w:tabs>
          <w:tab w:val="left" w:pos="-180"/>
        </w:tabs>
        <w:suppressAutoHyphens/>
        <w:spacing w:before="240" w:after="120"/>
        <w:rPr>
          <w:rFonts w:asciiTheme="minorHAnsi" w:hAnsiTheme="minorHAnsi" w:cstheme="minorHAnsi"/>
          <w:b/>
          <w:color w:val="CC0000"/>
          <w:sz w:val="22"/>
          <w:szCs w:val="22"/>
        </w:rPr>
      </w:pPr>
      <w:r w:rsidRPr="001D7F3A">
        <w:rPr>
          <w:rFonts w:asciiTheme="minorHAnsi" w:hAnsiTheme="minorHAnsi" w:cstheme="minorHAnsi"/>
          <w:b/>
          <w:color w:val="CC0000"/>
          <w:sz w:val="22"/>
          <w:szCs w:val="22"/>
        </w:rPr>
        <w:t xml:space="preserve">Child </w:t>
      </w:r>
      <w:r w:rsidR="00CF2252" w:rsidRPr="001D7F3A">
        <w:rPr>
          <w:rFonts w:asciiTheme="minorHAnsi" w:hAnsiTheme="minorHAnsi" w:cstheme="minorHAnsi"/>
          <w:b/>
          <w:color w:val="CC0000"/>
          <w:sz w:val="22"/>
          <w:szCs w:val="22"/>
        </w:rPr>
        <w:t xml:space="preserve">Health </w:t>
      </w:r>
      <w:r w:rsidR="005A6DDA" w:rsidRPr="001D7F3A">
        <w:rPr>
          <w:rFonts w:asciiTheme="minorHAnsi" w:hAnsiTheme="minorHAnsi" w:cstheme="minorHAnsi"/>
          <w:b/>
          <w:color w:val="CC0000"/>
          <w:sz w:val="22"/>
          <w:szCs w:val="22"/>
        </w:rPr>
        <w:t>o</w:t>
      </w:r>
      <w:r w:rsidR="00CF2252" w:rsidRPr="001D7F3A">
        <w:rPr>
          <w:rFonts w:asciiTheme="minorHAnsi" w:hAnsiTheme="minorHAnsi" w:cstheme="minorHAnsi"/>
          <w:b/>
          <w:color w:val="CC0000"/>
          <w:sz w:val="22"/>
          <w:szCs w:val="22"/>
        </w:rPr>
        <w:t>ver the Last Twelve Months</w:t>
      </w:r>
    </w:p>
    <w:p w:rsidR="00CF2252" w:rsidRPr="009C0866" w:rsidRDefault="00CF2252"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When </w:t>
      </w:r>
      <w:r w:rsidR="0011354D">
        <w:rPr>
          <w:rFonts w:asciiTheme="minorHAnsi" w:hAnsiTheme="minorHAnsi" w:cstheme="minorHAnsi"/>
          <w:sz w:val="22"/>
          <w:szCs w:val="22"/>
        </w:rPr>
        <w:t>p</w:t>
      </w:r>
      <w:r w:rsidR="0011354D" w:rsidRPr="009C0866">
        <w:rPr>
          <w:rFonts w:asciiTheme="minorHAnsi" w:hAnsiTheme="minorHAnsi" w:cstheme="minorHAnsi"/>
          <w:sz w:val="22"/>
          <w:szCs w:val="22"/>
        </w:rPr>
        <w:t xml:space="preserve">arents </w:t>
      </w:r>
      <w:r w:rsidR="0011354D">
        <w:rPr>
          <w:rFonts w:asciiTheme="minorHAnsi" w:hAnsiTheme="minorHAnsi" w:cstheme="minorHAnsi"/>
          <w:sz w:val="22"/>
          <w:szCs w:val="22"/>
        </w:rPr>
        <w:t xml:space="preserve">were </w:t>
      </w:r>
      <w:r w:rsidRPr="009C0866">
        <w:rPr>
          <w:rFonts w:asciiTheme="minorHAnsi" w:hAnsiTheme="minorHAnsi" w:cstheme="minorHAnsi"/>
          <w:sz w:val="22"/>
          <w:szCs w:val="22"/>
        </w:rPr>
        <w:t>asked about the health of</w:t>
      </w:r>
      <w:r>
        <w:rPr>
          <w:rFonts w:asciiTheme="minorHAnsi" w:hAnsiTheme="minorHAnsi" w:cstheme="minorHAnsi"/>
          <w:sz w:val="22"/>
          <w:szCs w:val="22"/>
        </w:rPr>
        <w:t xml:space="preserve"> their</w:t>
      </w:r>
      <w:r w:rsidRPr="009C0866">
        <w:rPr>
          <w:rFonts w:asciiTheme="minorHAnsi" w:hAnsiTheme="minorHAnsi" w:cstheme="minorHAnsi"/>
          <w:sz w:val="22"/>
          <w:szCs w:val="22"/>
        </w:rPr>
        <w:t xml:space="preserve"> children over the previous 12 months, </w:t>
      </w:r>
      <w:r w:rsidR="0011354D">
        <w:rPr>
          <w:rFonts w:asciiTheme="minorHAnsi" w:hAnsiTheme="minorHAnsi" w:cstheme="minorHAnsi"/>
          <w:sz w:val="22"/>
          <w:szCs w:val="22"/>
        </w:rPr>
        <w:t>four-fifths (82%) of the</w:t>
      </w:r>
      <w:r>
        <w:rPr>
          <w:rFonts w:asciiTheme="minorHAnsi" w:hAnsiTheme="minorHAnsi" w:cstheme="minorHAnsi"/>
          <w:sz w:val="22"/>
          <w:szCs w:val="22"/>
        </w:rPr>
        <w:t xml:space="preserve"> </w:t>
      </w:r>
      <w:r w:rsidRPr="009C0866">
        <w:rPr>
          <w:rFonts w:asciiTheme="minorHAnsi" w:hAnsiTheme="minorHAnsi" w:cstheme="minorHAnsi"/>
          <w:sz w:val="22"/>
          <w:szCs w:val="22"/>
        </w:rPr>
        <w:t xml:space="preserve">children’s health </w:t>
      </w:r>
      <w:r w:rsidR="0011354D">
        <w:rPr>
          <w:rFonts w:asciiTheme="minorHAnsi" w:hAnsiTheme="minorHAnsi" w:cstheme="minorHAnsi"/>
          <w:sz w:val="22"/>
          <w:szCs w:val="22"/>
        </w:rPr>
        <w:t>was described as good, with 4</w:t>
      </w:r>
      <w:r w:rsidRPr="009C0866">
        <w:rPr>
          <w:rFonts w:asciiTheme="minorHAnsi" w:hAnsiTheme="minorHAnsi" w:cstheme="minorHAnsi"/>
          <w:sz w:val="22"/>
          <w:szCs w:val="22"/>
        </w:rPr>
        <w:t xml:space="preserve">% </w:t>
      </w:r>
      <w:r w:rsidR="00464544">
        <w:rPr>
          <w:rFonts w:asciiTheme="minorHAnsi" w:hAnsiTheme="minorHAnsi" w:cstheme="minorHAnsi"/>
          <w:sz w:val="22"/>
          <w:szCs w:val="22"/>
        </w:rPr>
        <w:t xml:space="preserve">deemed </w:t>
      </w:r>
      <w:r w:rsidRPr="009C0866">
        <w:rPr>
          <w:rFonts w:asciiTheme="minorHAnsi" w:hAnsiTheme="minorHAnsi" w:cstheme="minorHAnsi"/>
          <w:sz w:val="22"/>
          <w:szCs w:val="22"/>
        </w:rPr>
        <w:t>not good.</w:t>
      </w:r>
    </w:p>
    <w:p w:rsidR="0011354D" w:rsidRPr="001D7F3A" w:rsidRDefault="0095371B" w:rsidP="00AD2B70">
      <w:pPr>
        <w:tabs>
          <w:tab w:val="left" w:pos="-180"/>
        </w:tabs>
        <w:suppressAutoHyphens/>
        <w:spacing w:before="240" w:after="120"/>
        <w:rPr>
          <w:rFonts w:asciiTheme="minorHAnsi" w:hAnsiTheme="minorHAnsi" w:cstheme="minorHAnsi"/>
          <w:b/>
          <w:color w:val="CC0000"/>
          <w:sz w:val="22"/>
          <w:szCs w:val="22"/>
        </w:rPr>
      </w:pPr>
      <w:r w:rsidRPr="001D7F3A">
        <w:rPr>
          <w:rFonts w:asciiTheme="minorHAnsi" w:hAnsiTheme="minorHAnsi" w:cstheme="minorHAnsi"/>
          <w:b/>
          <w:color w:val="CC0000"/>
          <w:sz w:val="22"/>
          <w:szCs w:val="22"/>
        </w:rPr>
        <w:t xml:space="preserve">Child </w:t>
      </w:r>
      <w:r w:rsidR="0011354D" w:rsidRPr="001D7F3A">
        <w:rPr>
          <w:rFonts w:asciiTheme="minorHAnsi" w:hAnsiTheme="minorHAnsi" w:cstheme="minorHAnsi"/>
          <w:b/>
          <w:color w:val="CC0000"/>
          <w:sz w:val="22"/>
          <w:szCs w:val="22"/>
        </w:rPr>
        <w:t>Longstanding Illnesses</w:t>
      </w:r>
    </w:p>
    <w:p w:rsidR="00103B9F" w:rsidRDefault="00884420"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Almost a fifth</w:t>
      </w:r>
      <w:r w:rsidR="0011354D" w:rsidRPr="0011354D">
        <w:rPr>
          <w:rFonts w:asciiTheme="minorHAnsi" w:hAnsiTheme="minorHAnsi" w:cstheme="minorHAnsi"/>
          <w:sz w:val="22"/>
          <w:szCs w:val="22"/>
        </w:rPr>
        <w:t xml:space="preserve"> of chil</w:t>
      </w:r>
      <w:r w:rsidR="0011354D">
        <w:rPr>
          <w:rFonts w:asciiTheme="minorHAnsi" w:hAnsiTheme="minorHAnsi" w:cstheme="minorHAnsi"/>
          <w:sz w:val="22"/>
          <w:szCs w:val="22"/>
        </w:rPr>
        <w:t xml:space="preserve">dren </w:t>
      </w:r>
      <w:r>
        <w:rPr>
          <w:rFonts w:asciiTheme="minorHAnsi" w:hAnsiTheme="minorHAnsi" w:cstheme="minorHAnsi"/>
          <w:sz w:val="22"/>
          <w:szCs w:val="22"/>
        </w:rPr>
        <w:t>(</w:t>
      </w:r>
      <w:r w:rsidRPr="0011354D">
        <w:rPr>
          <w:rFonts w:asciiTheme="minorHAnsi" w:hAnsiTheme="minorHAnsi" w:cstheme="minorHAnsi"/>
          <w:sz w:val="22"/>
          <w:szCs w:val="22"/>
        </w:rPr>
        <w:t>16%</w:t>
      </w:r>
      <w:r>
        <w:rPr>
          <w:rFonts w:asciiTheme="minorHAnsi" w:hAnsiTheme="minorHAnsi" w:cstheme="minorHAnsi"/>
          <w:sz w:val="22"/>
          <w:szCs w:val="22"/>
        </w:rPr>
        <w:t xml:space="preserve">) reported on, </w:t>
      </w:r>
      <w:r w:rsidR="0011354D">
        <w:rPr>
          <w:rFonts w:asciiTheme="minorHAnsi" w:hAnsiTheme="minorHAnsi" w:cstheme="minorHAnsi"/>
          <w:sz w:val="22"/>
          <w:szCs w:val="22"/>
        </w:rPr>
        <w:t>had a longstanding illness.</w:t>
      </w:r>
      <w:r w:rsidR="0011354D" w:rsidRPr="0011354D">
        <w:rPr>
          <w:rFonts w:asciiTheme="minorHAnsi" w:hAnsiTheme="minorHAnsi" w:cstheme="minorHAnsi"/>
          <w:sz w:val="22"/>
          <w:szCs w:val="22"/>
        </w:rPr>
        <w:t xml:space="preserve"> </w:t>
      </w:r>
      <w:r w:rsidR="0011354D">
        <w:rPr>
          <w:rFonts w:asciiTheme="minorHAnsi" w:hAnsiTheme="minorHAnsi" w:cstheme="minorHAnsi"/>
          <w:sz w:val="22"/>
          <w:szCs w:val="22"/>
        </w:rPr>
        <w:t xml:space="preserve"> A</w:t>
      </w:r>
      <w:r w:rsidR="0011354D" w:rsidRPr="009C0866">
        <w:rPr>
          <w:rFonts w:asciiTheme="minorHAnsi" w:hAnsiTheme="minorHAnsi" w:cstheme="minorHAnsi"/>
          <w:sz w:val="22"/>
          <w:szCs w:val="22"/>
        </w:rPr>
        <w:t xml:space="preserve">sthma </w:t>
      </w:r>
      <w:r>
        <w:rPr>
          <w:rFonts w:asciiTheme="minorHAnsi" w:hAnsiTheme="minorHAnsi" w:cstheme="minorHAnsi"/>
          <w:sz w:val="22"/>
          <w:szCs w:val="22"/>
        </w:rPr>
        <w:t xml:space="preserve">(6%) </w:t>
      </w:r>
      <w:r w:rsidR="0011354D">
        <w:rPr>
          <w:rFonts w:asciiTheme="minorHAnsi" w:hAnsiTheme="minorHAnsi" w:cstheme="minorHAnsi"/>
          <w:sz w:val="22"/>
          <w:szCs w:val="22"/>
        </w:rPr>
        <w:t>was</w:t>
      </w:r>
      <w:r w:rsidR="0011354D" w:rsidRPr="009C0866">
        <w:rPr>
          <w:rFonts w:asciiTheme="minorHAnsi" w:hAnsiTheme="minorHAnsi" w:cstheme="minorHAnsi"/>
          <w:sz w:val="22"/>
          <w:szCs w:val="22"/>
        </w:rPr>
        <w:t xml:space="preserve"> the most frequently mentioned</w:t>
      </w:r>
      <w:r w:rsidR="0011354D">
        <w:rPr>
          <w:rFonts w:asciiTheme="minorHAnsi" w:hAnsiTheme="minorHAnsi" w:cstheme="minorHAnsi"/>
          <w:sz w:val="22"/>
          <w:szCs w:val="22"/>
        </w:rPr>
        <w:t xml:space="preserve"> illness</w:t>
      </w:r>
      <w:r>
        <w:rPr>
          <w:rFonts w:asciiTheme="minorHAnsi" w:hAnsiTheme="minorHAnsi" w:cstheme="minorHAnsi"/>
          <w:sz w:val="22"/>
          <w:szCs w:val="22"/>
        </w:rPr>
        <w:t>.</w:t>
      </w:r>
      <w:r w:rsidR="00103B9F">
        <w:rPr>
          <w:rFonts w:asciiTheme="minorHAnsi" w:hAnsiTheme="minorHAnsi" w:cstheme="minorHAnsi"/>
          <w:sz w:val="22"/>
          <w:szCs w:val="22"/>
        </w:rPr>
        <w:t xml:space="preserve">  </w:t>
      </w:r>
    </w:p>
    <w:p w:rsidR="005873E4" w:rsidRDefault="00884420"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w:t>
      </w:r>
      <w:r w:rsidRPr="009C0866">
        <w:rPr>
          <w:rFonts w:asciiTheme="minorHAnsi" w:hAnsiTheme="minorHAnsi" w:cstheme="minorHAnsi"/>
          <w:sz w:val="22"/>
          <w:szCs w:val="22"/>
        </w:rPr>
        <w:t xml:space="preserve">lmost half </w:t>
      </w:r>
      <w:r>
        <w:rPr>
          <w:rFonts w:asciiTheme="minorHAnsi" w:hAnsiTheme="minorHAnsi" w:cstheme="minorHAnsi"/>
          <w:sz w:val="22"/>
          <w:szCs w:val="22"/>
        </w:rPr>
        <w:t>o</w:t>
      </w:r>
      <w:r w:rsidR="009C0866" w:rsidRPr="009C0866">
        <w:rPr>
          <w:rFonts w:asciiTheme="minorHAnsi" w:hAnsiTheme="minorHAnsi" w:cstheme="minorHAnsi"/>
          <w:sz w:val="22"/>
          <w:szCs w:val="22"/>
        </w:rPr>
        <w:t xml:space="preserve">f </w:t>
      </w:r>
      <w:r>
        <w:rPr>
          <w:rFonts w:asciiTheme="minorHAnsi" w:hAnsiTheme="minorHAnsi" w:cstheme="minorHAnsi"/>
          <w:sz w:val="22"/>
          <w:szCs w:val="22"/>
        </w:rPr>
        <w:t xml:space="preserve">the </w:t>
      </w:r>
      <w:r w:rsidR="009C0866" w:rsidRPr="009C0866">
        <w:rPr>
          <w:rFonts w:asciiTheme="minorHAnsi" w:hAnsiTheme="minorHAnsi" w:cstheme="minorHAnsi"/>
          <w:sz w:val="22"/>
          <w:szCs w:val="22"/>
        </w:rPr>
        <w:t xml:space="preserve">children who </w:t>
      </w:r>
      <w:r w:rsidR="00103B9F">
        <w:rPr>
          <w:rFonts w:asciiTheme="minorHAnsi" w:hAnsiTheme="minorHAnsi" w:cstheme="minorHAnsi"/>
          <w:sz w:val="22"/>
          <w:szCs w:val="22"/>
        </w:rPr>
        <w:t>were reported as having a</w:t>
      </w:r>
      <w:r w:rsidR="009C0866" w:rsidRPr="009C0866">
        <w:rPr>
          <w:rFonts w:asciiTheme="minorHAnsi" w:hAnsiTheme="minorHAnsi" w:cstheme="minorHAnsi"/>
          <w:sz w:val="22"/>
          <w:szCs w:val="22"/>
        </w:rPr>
        <w:t xml:space="preserve"> long-standing illness had an illness that limited their </w:t>
      </w:r>
      <w:r w:rsidR="00103B9F">
        <w:rPr>
          <w:rFonts w:asciiTheme="minorHAnsi" w:hAnsiTheme="minorHAnsi" w:cstheme="minorHAnsi"/>
          <w:sz w:val="22"/>
          <w:szCs w:val="22"/>
        </w:rPr>
        <w:t xml:space="preserve">normal </w:t>
      </w:r>
      <w:r w:rsidR="009C0866" w:rsidRPr="009C0866">
        <w:rPr>
          <w:rFonts w:asciiTheme="minorHAnsi" w:hAnsiTheme="minorHAnsi" w:cstheme="minorHAnsi"/>
          <w:sz w:val="22"/>
          <w:szCs w:val="22"/>
        </w:rPr>
        <w:t>activities in some way.</w:t>
      </w:r>
      <w:r w:rsidR="00103B9F">
        <w:rPr>
          <w:rFonts w:asciiTheme="minorHAnsi" w:hAnsiTheme="minorHAnsi" w:cstheme="minorHAnsi"/>
          <w:sz w:val="22"/>
          <w:szCs w:val="22"/>
        </w:rPr>
        <w:t xml:space="preserve">  </w:t>
      </w:r>
      <w:r w:rsidR="005873E4">
        <w:rPr>
          <w:rFonts w:asciiTheme="minorHAnsi" w:hAnsiTheme="minorHAnsi" w:cstheme="minorHAnsi"/>
          <w:sz w:val="22"/>
          <w:szCs w:val="22"/>
        </w:rPr>
        <w:t>Limiting illness affected a larger proportion of children in urban areas (9%) than rural areas (5%).</w:t>
      </w:r>
    </w:p>
    <w:p w:rsidR="009C0866" w:rsidRDefault="00103B9F"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Although similar proportions of children were reported as having an illness, </w:t>
      </w:r>
      <w:r w:rsidR="00884420">
        <w:rPr>
          <w:rFonts w:asciiTheme="minorHAnsi" w:hAnsiTheme="minorHAnsi" w:cstheme="minorHAnsi"/>
          <w:sz w:val="22"/>
          <w:szCs w:val="22"/>
        </w:rPr>
        <w:t>it</w:t>
      </w:r>
      <w:r>
        <w:rPr>
          <w:rFonts w:asciiTheme="minorHAnsi" w:hAnsiTheme="minorHAnsi" w:cstheme="minorHAnsi"/>
          <w:sz w:val="22"/>
          <w:szCs w:val="22"/>
        </w:rPr>
        <w:t xml:space="preserve"> was more likely to be limiting for those children living in the most deprived areas </w:t>
      </w:r>
      <w:r w:rsidR="002A55D8">
        <w:rPr>
          <w:rFonts w:asciiTheme="minorHAnsi" w:hAnsiTheme="minorHAnsi" w:cstheme="minorHAnsi"/>
          <w:sz w:val="22"/>
          <w:szCs w:val="22"/>
        </w:rPr>
        <w:t xml:space="preserve">(11%) </w:t>
      </w:r>
      <w:r>
        <w:rPr>
          <w:rFonts w:asciiTheme="minorHAnsi" w:hAnsiTheme="minorHAnsi" w:cstheme="minorHAnsi"/>
          <w:sz w:val="22"/>
          <w:szCs w:val="22"/>
        </w:rPr>
        <w:t>than for those living in the least deprived areas</w:t>
      </w:r>
      <w:r w:rsidR="002A55D8">
        <w:rPr>
          <w:rFonts w:asciiTheme="minorHAnsi" w:hAnsiTheme="minorHAnsi" w:cstheme="minorHAnsi"/>
          <w:sz w:val="22"/>
          <w:szCs w:val="22"/>
        </w:rPr>
        <w:t xml:space="preserve"> (5%)</w:t>
      </w:r>
      <w:r>
        <w:rPr>
          <w:rFonts w:asciiTheme="minorHAnsi" w:hAnsiTheme="minorHAnsi" w:cstheme="minorHAnsi"/>
          <w:sz w:val="22"/>
          <w:szCs w:val="22"/>
        </w:rPr>
        <w:t>.</w:t>
      </w:r>
    </w:p>
    <w:p w:rsidR="00103B9F" w:rsidRPr="00A0643C" w:rsidRDefault="00103B9F" w:rsidP="00103B9F">
      <w:pPr>
        <w:tabs>
          <w:tab w:val="center" w:pos="4075"/>
        </w:tabs>
        <w:autoSpaceDE w:val="0"/>
        <w:autoSpaceDN w:val="0"/>
        <w:adjustRightInd w:val="0"/>
        <w:spacing w:after="60"/>
        <w:rPr>
          <w:rFonts w:asciiTheme="minorHAnsi" w:hAnsiTheme="minorHAnsi" w:cstheme="minorHAnsi"/>
        </w:rPr>
      </w:pPr>
      <w:r w:rsidRPr="00A0643C">
        <w:rPr>
          <w:rFonts w:asciiTheme="minorHAnsi" w:hAnsiTheme="minorHAnsi" w:cstheme="minorHAnsi"/>
          <w:b/>
          <w:bCs/>
        </w:rPr>
        <w:lastRenderedPageBreak/>
        <w:t>Children Reported to have an Illness by Deprivation</w:t>
      </w:r>
    </w:p>
    <w:p w:rsidR="009C0866" w:rsidRPr="009C0866" w:rsidRDefault="0025177B" w:rsidP="009C0866">
      <w:pPr>
        <w:tabs>
          <w:tab w:val="center" w:pos="4075"/>
        </w:tabs>
        <w:autoSpaceDE w:val="0"/>
        <w:autoSpaceDN w:val="0"/>
        <w:adjustRightInd w:val="0"/>
        <w:spacing w:after="60"/>
        <w:rPr>
          <w:rFonts w:asciiTheme="minorHAnsi" w:hAnsiTheme="minorHAnsi" w:cstheme="minorHAnsi"/>
          <w:sz w:val="22"/>
          <w:szCs w:val="22"/>
        </w:rPr>
      </w:pPr>
      <w:r w:rsidRPr="0025177B">
        <w:rPr>
          <w:rFonts w:asciiTheme="minorHAnsi" w:hAnsiTheme="minorHAnsi" w:cstheme="minorHAnsi"/>
          <w:noProof/>
          <w:sz w:val="22"/>
          <w:szCs w:val="22"/>
          <w:lang w:val="en-IE" w:eastAsia="en-IE"/>
        </w:rPr>
        <w:drawing>
          <wp:inline distT="0" distB="0" distL="0" distR="0">
            <wp:extent cx="4324350" cy="2520000"/>
            <wp:effectExtent l="0" t="0" r="0" b="0"/>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91AFF" w:rsidRPr="001D7F3A" w:rsidRDefault="00391AFF" w:rsidP="00FF2515">
      <w:pPr>
        <w:tabs>
          <w:tab w:val="left" w:pos="-180"/>
        </w:tabs>
        <w:suppressAutoHyphens/>
        <w:spacing w:before="360" w:after="120"/>
        <w:rPr>
          <w:rFonts w:asciiTheme="minorHAnsi" w:hAnsiTheme="minorHAnsi" w:cstheme="minorHAnsi"/>
          <w:b/>
          <w:color w:val="CC0000"/>
          <w:sz w:val="22"/>
          <w:szCs w:val="22"/>
        </w:rPr>
      </w:pPr>
      <w:r w:rsidRPr="001D7F3A">
        <w:rPr>
          <w:rFonts w:asciiTheme="minorHAnsi" w:hAnsiTheme="minorHAnsi" w:cstheme="minorHAnsi"/>
          <w:b/>
          <w:color w:val="CC0000"/>
          <w:sz w:val="22"/>
          <w:szCs w:val="22"/>
        </w:rPr>
        <w:t>Child Visits to a General Practitioner</w:t>
      </w:r>
    </w:p>
    <w:p w:rsidR="00391AFF" w:rsidRDefault="00391AFF"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While the majority of children (89%) did not attend a General Practitioner in the two weeks prior to the survey, 8% were seen by a doctor once and 3% were seen by a doctor two times or more over the prior two weeks.</w:t>
      </w:r>
    </w:p>
    <w:p w:rsidR="00AD2B70" w:rsidRDefault="00AD2B70" w:rsidP="00AD2B70">
      <w:pPr>
        <w:pStyle w:val="Heading2"/>
        <w:spacing w:before="0" w:after="120"/>
        <w:rPr>
          <w:rFonts w:asciiTheme="minorHAnsi" w:hAnsiTheme="minorHAnsi" w:cstheme="minorHAnsi"/>
          <w:sz w:val="24"/>
          <w:szCs w:val="24"/>
        </w:rPr>
      </w:pPr>
      <w:bookmarkStart w:id="45" w:name="_Ref381945848"/>
    </w:p>
    <w:p w:rsidR="0095371B" w:rsidRPr="001D7F3A" w:rsidRDefault="0095371B" w:rsidP="00AD2B70">
      <w:pPr>
        <w:pStyle w:val="Heading2"/>
        <w:spacing w:before="0" w:after="120"/>
        <w:rPr>
          <w:rFonts w:asciiTheme="minorHAnsi" w:hAnsiTheme="minorHAnsi" w:cstheme="minorHAnsi"/>
          <w:color w:val="CC0000"/>
          <w:sz w:val="24"/>
          <w:szCs w:val="24"/>
        </w:rPr>
      </w:pPr>
      <w:r w:rsidRPr="001D7F3A">
        <w:rPr>
          <w:rFonts w:asciiTheme="minorHAnsi" w:hAnsiTheme="minorHAnsi" w:cstheme="minorHAnsi"/>
          <w:color w:val="CC0000"/>
          <w:sz w:val="24"/>
          <w:szCs w:val="24"/>
        </w:rPr>
        <w:t>Child obesity</w:t>
      </w:r>
      <w:bookmarkEnd w:id="45"/>
    </w:p>
    <w:p w:rsidR="0095371B" w:rsidRPr="00AD2B70" w:rsidRDefault="0095371B" w:rsidP="00AD2B70">
      <w:pPr>
        <w:tabs>
          <w:tab w:val="center" w:pos="4075"/>
        </w:tabs>
        <w:autoSpaceDE w:val="0"/>
        <w:autoSpaceDN w:val="0"/>
        <w:adjustRightInd w:val="0"/>
        <w:spacing w:after="120" w:line="288" w:lineRule="auto"/>
        <w:rPr>
          <w:rFonts w:asciiTheme="minorHAnsi" w:hAnsiTheme="minorHAnsi" w:cstheme="minorHAnsi"/>
          <w:sz w:val="22"/>
          <w:szCs w:val="22"/>
        </w:rPr>
      </w:pPr>
      <w:r w:rsidRPr="00BA5E1E">
        <w:rPr>
          <w:rFonts w:asciiTheme="minorHAnsi" w:hAnsiTheme="minorHAnsi" w:cstheme="minorHAnsi"/>
          <w:sz w:val="22"/>
          <w:szCs w:val="22"/>
        </w:rPr>
        <w:t xml:space="preserve">Child obesity levels were </w:t>
      </w:r>
      <w:r w:rsidR="00206BAD">
        <w:rPr>
          <w:rFonts w:asciiTheme="minorHAnsi" w:hAnsiTheme="minorHAnsi" w:cstheme="minorHAnsi"/>
          <w:sz w:val="22"/>
          <w:szCs w:val="22"/>
        </w:rPr>
        <w:t>estim</w:t>
      </w:r>
      <w:r w:rsidRPr="00BA5E1E">
        <w:rPr>
          <w:rFonts w:asciiTheme="minorHAnsi" w:hAnsiTheme="minorHAnsi" w:cstheme="minorHAnsi"/>
          <w:sz w:val="22"/>
          <w:szCs w:val="22"/>
        </w:rPr>
        <w:t xml:space="preserve">ated </w:t>
      </w:r>
      <w:r w:rsidR="00206BAD">
        <w:rPr>
          <w:rFonts w:asciiTheme="minorHAnsi" w:hAnsiTheme="minorHAnsi" w:cstheme="minorHAnsi"/>
          <w:sz w:val="22"/>
          <w:szCs w:val="22"/>
        </w:rPr>
        <w:t xml:space="preserve">using </w:t>
      </w:r>
      <w:r w:rsidRPr="00BA5E1E">
        <w:rPr>
          <w:rFonts w:asciiTheme="minorHAnsi" w:hAnsiTheme="minorHAnsi" w:cstheme="minorHAnsi"/>
          <w:sz w:val="22"/>
          <w:szCs w:val="22"/>
        </w:rPr>
        <w:t xml:space="preserve">BMI </w:t>
      </w:r>
      <w:r w:rsidR="00206BAD">
        <w:rPr>
          <w:rFonts w:asciiTheme="minorHAnsi" w:hAnsiTheme="minorHAnsi" w:cstheme="minorHAnsi"/>
          <w:sz w:val="22"/>
          <w:szCs w:val="22"/>
        </w:rPr>
        <w:t>assessed against</w:t>
      </w:r>
      <w:r w:rsidRPr="00BA5E1E">
        <w:rPr>
          <w:rFonts w:asciiTheme="minorHAnsi" w:hAnsiTheme="minorHAnsi" w:cstheme="minorHAnsi"/>
          <w:sz w:val="22"/>
          <w:szCs w:val="22"/>
        </w:rPr>
        <w:t xml:space="preserve"> the </w:t>
      </w:r>
      <w:r w:rsidR="00C31949">
        <w:rPr>
          <w:rFonts w:asciiTheme="minorHAnsi" w:hAnsiTheme="minorHAnsi" w:cstheme="minorHAnsi"/>
          <w:sz w:val="22"/>
          <w:szCs w:val="22"/>
        </w:rPr>
        <w:t xml:space="preserve">growth curve developed </w:t>
      </w:r>
      <w:r w:rsidRPr="00BA5E1E">
        <w:rPr>
          <w:rFonts w:asciiTheme="minorHAnsi" w:hAnsiTheme="minorHAnsi" w:cstheme="minorHAnsi"/>
          <w:sz w:val="22"/>
          <w:szCs w:val="22"/>
        </w:rPr>
        <w:t>by the International Obesity Task Force</w:t>
      </w:r>
      <w:r w:rsidR="00206BAD">
        <w:rPr>
          <w:rFonts w:asciiTheme="minorHAnsi" w:hAnsiTheme="minorHAnsi" w:cstheme="minorHAnsi"/>
          <w:sz w:val="22"/>
          <w:szCs w:val="22"/>
        </w:rPr>
        <w:t xml:space="preserve"> (IOTF)</w:t>
      </w:r>
      <w:r w:rsidRPr="00BA5E1E">
        <w:rPr>
          <w:rFonts w:asciiTheme="minorHAnsi" w:hAnsiTheme="minorHAnsi" w:cstheme="minorHAnsi"/>
          <w:sz w:val="22"/>
          <w:szCs w:val="22"/>
        </w:rPr>
        <w:t xml:space="preserve">.  </w:t>
      </w:r>
      <w:r w:rsidR="00C31949">
        <w:rPr>
          <w:rFonts w:asciiTheme="minorHAnsi" w:hAnsiTheme="minorHAnsi" w:cstheme="minorHAnsi"/>
          <w:sz w:val="22"/>
          <w:szCs w:val="22"/>
        </w:rPr>
        <w:t>Therefore obesity classification for children is based on different</w:t>
      </w:r>
      <w:r w:rsidRPr="00BA5E1E">
        <w:rPr>
          <w:rFonts w:asciiTheme="minorHAnsi" w:hAnsiTheme="minorHAnsi" w:cstheme="minorHAnsi"/>
          <w:sz w:val="22"/>
          <w:szCs w:val="22"/>
        </w:rPr>
        <w:t xml:space="preserve"> BMI </w:t>
      </w:r>
      <w:r w:rsidR="00C31949">
        <w:rPr>
          <w:rFonts w:asciiTheme="minorHAnsi" w:hAnsiTheme="minorHAnsi" w:cstheme="minorHAnsi"/>
          <w:sz w:val="22"/>
          <w:szCs w:val="22"/>
        </w:rPr>
        <w:t xml:space="preserve">thresholds </w:t>
      </w:r>
      <w:r w:rsidR="00206BAD">
        <w:rPr>
          <w:rFonts w:asciiTheme="minorHAnsi" w:hAnsiTheme="minorHAnsi" w:cstheme="minorHAnsi"/>
          <w:sz w:val="22"/>
          <w:szCs w:val="22"/>
        </w:rPr>
        <w:t>depending</w:t>
      </w:r>
      <w:r w:rsidRPr="00BA5E1E">
        <w:rPr>
          <w:rFonts w:asciiTheme="minorHAnsi" w:hAnsiTheme="minorHAnsi" w:cstheme="minorHAnsi"/>
          <w:sz w:val="22"/>
          <w:szCs w:val="22"/>
        </w:rPr>
        <w:t xml:space="preserve"> on </w:t>
      </w:r>
      <w:r w:rsidR="00C31949">
        <w:rPr>
          <w:rFonts w:asciiTheme="minorHAnsi" w:hAnsiTheme="minorHAnsi" w:cstheme="minorHAnsi"/>
          <w:sz w:val="22"/>
          <w:szCs w:val="22"/>
        </w:rPr>
        <w:t xml:space="preserve">the </w:t>
      </w:r>
      <w:r w:rsidRPr="00BA5E1E">
        <w:rPr>
          <w:rFonts w:asciiTheme="minorHAnsi" w:hAnsiTheme="minorHAnsi" w:cstheme="minorHAnsi"/>
          <w:sz w:val="22"/>
          <w:szCs w:val="22"/>
        </w:rPr>
        <w:t>age and sex of the child.</w:t>
      </w:r>
      <w:r w:rsidR="008E7DC9">
        <w:rPr>
          <w:rFonts w:asciiTheme="minorHAnsi" w:hAnsiTheme="minorHAnsi" w:cstheme="minorHAnsi"/>
          <w:sz w:val="22"/>
          <w:szCs w:val="22"/>
        </w:rPr>
        <w:t xml:space="preserve">  </w:t>
      </w:r>
      <w:r w:rsidR="00D24EE6">
        <w:rPr>
          <w:rFonts w:asciiTheme="minorHAnsi" w:hAnsiTheme="minorHAnsi" w:cstheme="minorHAnsi"/>
          <w:sz w:val="22"/>
          <w:szCs w:val="22"/>
        </w:rPr>
        <w:t>H</w:t>
      </w:r>
      <w:r w:rsidR="00D24EE6" w:rsidRPr="00BA5E1E">
        <w:rPr>
          <w:rFonts w:asciiTheme="minorHAnsi" w:hAnsiTheme="minorHAnsi" w:cstheme="minorHAnsi"/>
          <w:sz w:val="22"/>
          <w:szCs w:val="22"/>
        </w:rPr>
        <w:t xml:space="preserve">eight and weight measurements were sought </w:t>
      </w:r>
      <w:r w:rsidR="00206BAD">
        <w:rPr>
          <w:rFonts w:asciiTheme="minorHAnsi" w:hAnsiTheme="minorHAnsi" w:cstheme="minorHAnsi"/>
          <w:sz w:val="22"/>
          <w:szCs w:val="22"/>
        </w:rPr>
        <w:t>for children</w:t>
      </w:r>
      <w:r w:rsidR="00D24EE6" w:rsidRPr="00BA5E1E">
        <w:rPr>
          <w:rFonts w:asciiTheme="minorHAnsi" w:hAnsiTheme="minorHAnsi" w:cstheme="minorHAnsi"/>
          <w:sz w:val="22"/>
          <w:szCs w:val="22"/>
        </w:rPr>
        <w:t xml:space="preserve"> aged 2 </w:t>
      </w:r>
      <w:r w:rsidR="00D24EE6">
        <w:rPr>
          <w:rFonts w:asciiTheme="minorHAnsi" w:hAnsiTheme="minorHAnsi" w:cstheme="minorHAnsi"/>
          <w:sz w:val="22"/>
          <w:szCs w:val="22"/>
        </w:rPr>
        <w:t>and</w:t>
      </w:r>
      <w:r w:rsidR="00D24EE6" w:rsidRPr="00BA5E1E">
        <w:rPr>
          <w:rFonts w:asciiTheme="minorHAnsi" w:hAnsiTheme="minorHAnsi" w:cstheme="minorHAnsi"/>
          <w:sz w:val="22"/>
          <w:szCs w:val="22"/>
        </w:rPr>
        <w:t xml:space="preserve"> above.  </w:t>
      </w:r>
      <w:r>
        <w:rPr>
          <w:rFonts w:asciiTheme="minorHAnsi" w:hAnsiTheme="minorHAnsi" w:cstheme="minorHAnsi"/>
          <w:sz w:val="22"/>
          <w:szCs w:val="22"/>
        </w:rPr>
        <w:t xml:space="preserve">Overall, 538 children had their height and weight </w:t>
      </w:r>
      <w:r w:rsidR="00C31949">
        <w:rPr>
          <w:rFonts w:asciiTheme="minorHAnsi" w:hAnsiTheme="minorHAnsi" w:cstheme="minorHAnsi"/>
          <w:sz w:val="22"/>
          <w:szCs w:val="22"/>
        </w:rPr>
        <w:t>recorded</w:t>
      </w:r>
      <w:r>
        <w:rPr>
          <w:rFonts w:asciiTheme="minorHAnsi" w:hAnsiTheme="minorHAnsi" w:cstheme="minorHAnsi"/>
          <w:sz w:val="22"/>
          <w:szCs w:val="22"/>
        </w:rPr>
        <w:t>.</w:t>
      </w:r>
      <w:r w:rsidRPr="00AD2B70">
        <w:rPr>
          <w:rFonts w:asciiTheme="minorHAnsi" w:hAnsiTheme="minorHAnsi" w:cstheme="minorHAnsi"/>
          <w:sz w:val="22"/>
          <w:szCs w:val="22"/>
        </w:rPr>
        <w:t xml:space="preserve"> </w:t>
      </w:r>
    </w:p>
    <w:p w:rsidR="0095371B" w:rsidRDefault="008F4E34"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w:t>
      </w:r>
      <w:r w:rsidR="0095371B">
        <w:rPr>
          <w:rFonts w:asciiTheme="minorHAnsi" w:hAnsiTheme="minorHAnsi" w:cstheme="minorHAnsi"/>
          <w:sz w:val="22"/>
          <w:szCs w:val="22"/>
        </w:rPr>
        <w:t xml:space="preserve">hree-quarters of children aged </w:t>
      </w:r>
      <w:r w:rsidR="00206BAD">
        <w:rPr>
          <w:rFonts w:asciiTheme="minorHAnsi" w:hAnsiTheme="minorHAnsi" w:cstheme="minorHAnsi"/>
          <w:sz w:val="22"/>
          <w:szCs w:val="22"/>
        </w:rPr>
        <w:t>2-10 years old</w:t>
      </w:r>
      <w:r w:rsidR="0095371B">
        <w:rPr>
          <w:rFonts w:asciiTheme="minorHAnsi" w:hAnsiTheme="minorHAnsi" w:cstheme="minorHAnsi"/>
          <w:sz w:val="22"/>
          <w:szCs w:val="22"/>
        </w:rPr>
        <w:t xml:space="preserve"> (7</w:t>
      </w:r>
      <w:r>
        <w:rPr>
          <w:rFonts w:asciiTheme="minorHAnsi" w:hAnsiTheme="minorHAnsi" w:cstheme="minorHAnsi"/>
          <w:sz w:val="22"/>
          <w:szCs w:val="22"/>
        </w:rPr>
        <w:t>5</w:t>
      </w:r>
      <w:r w:rsidR="0095371B">
        <w:rPr>
          <w:rFonts w:asciiTheme="minorHAnsi" w:hAnsiTheme="minorHAnsi" w:cstheme="minorHAnsi"/>
          <w:sz w:val="22"/>
          <w:szCs w:val="22"/>
        </w:rPr>
        <w:t>%) were</w:t>
      </w:r>
      <w:r>
        <w:rPr>
          <w:rFonts w:asciiTheme="minorHAnsi" w:hAnsiTheme="minorHAnsi" w:cstheme="minorHAnsi"/>
          <w:sz w:val="22"/>
          <w:szCs w:val="22"/>
        </w:rPr>
        <w:t xml:space="preserve"> either</w:t>
      </w:r>
      <w:r w:rsidR="0095371B">
        <w:rPr>
          <w:rFonts w:asciiTheme="minorHAnsi" w:hAnsiTheme="minorHAnsi" w:cstheme="minorHAnsi"/>
          <w:sz w:val="22"/>
          <w:szCs w:val="22"/>
        </w:rPr>
        <w:t xml:space="preserve"> underweight or normal weight, </w:t>
      </w:r>
      <w:r w:rsidR="0095371B" w:rsidRPr="00BA5E1E">
        <w:rPr>
          <w:rFonts w:asciiTheme="minorHAnsi" w:hAnsiTheme="minorHAnsi" w:cstheme="minorHAnsi"/>
          <w:sz w:val="22"/>
          <w:szCs w:val="22"/>
        </w:rPr>
        <w:t xml:space="preserve">while </w:t>
      </w:r>
      <w:r>
        <w:rPr>
          <w:rFonts w:asciiTheme="minorHAnsi" w:hAnsiTheme="minorHAnsi" w:cstheme="minorHAnsi"/>
          <w:sz w:val="22"/>
          <w:szCs w:val="22"/>
        </w:rPr>
        <w:t xml:space="preserve">a </w:t>
      </w:r>
      <w:r w:rsidR="0095371B">
        <w:rPr>
          <w:rFonts w:asciiTheme="minorHAnsi" w:hAnsiTheme="minorHAnsi" w:cstheme="minorHAnsi"/>
          <w:sz w:val="22"/>
          <w:szCs w:val="22"/>
        </w:rPr>
        <w:t>fifth</w:t>
      </w:r>
      <w:r w:rsidR="0095371B" w:rsidRPr="00BA5E1E">
        <w:rPr>
          <w:rFonts w:asciiTheme="minorHAnsi" w:hAnsiTheme="minorHAnsi" w:cstheme="minorHAnsi"/>
          <w:sz w:val="22"/>
          <w:szCs w:val="22"/>
        </w:rPr>
        <w:t xml:space="preserve"> </w:t>
      </w:r>
      <w:r w:rsidR="0095371B">
        <w:rPr>
          <w:rFonts w:asciiTheme="minorHAnsi" w:hAnsiTheme="minorHAnsi" w:cstheme="minorHAnsi"/>
          <w:sz w:val="22"/>
          <w:szCs w:val="22"/>
        </w:rPr>
        <w:t>(</w:t>
      </w:r>
      <w:r>
        <w:rPr>
          <w:rFonts w:asciiTheme="minorHAnsi" w:hAnsiTheme="minorHAnsi" w:cstheme="minorHAnsi"/>
          <w:sz w:val="22"/>
          <w:szCs w:val="22"/>
        </w:rPr>
        <w:t>19</w:t>
      </w:r>
      <w:r w:rsidR="0095371B" w:rsidRPr="00BA5E1E">
        <w:rPr>
          <w:rFonts w:asciiTheme="minorHAnsi" w:hAnsiTheme="minorHAnsi" w:cstheme="minorHAnsi"/>
          <w:sz w:val="22"/>
          <w:szCs w:val="22"/>
        </w:rPr>
        <w:t>%</w:t>
      </w:r>
      <w:r w:rsidR="0095371B">
        <w:rPr>
          <w:rFonts w:asciiTheme="minorHAnsi" w:hAnsiTheme="minorHAnsi" w:cstheme="minorHAnsi"/>
          <w:sz w:val="22"/>
          <w:szCs w:val="22"/>
        </w:rPr>
        <w:t>)</w:t>
      </w:r>
      <w:r w:rsidR="0095371B" w:rsidRPr="00BA5E1E">
        <w:rPr>
          <w:rFonts w:asciiTheme="minorHAnsi" w:hAnsiTheme="minorHAnsi" w:cstheme="minorHAnsi"/>
          <w:sz w:val="22"/>
          <w:szCs w:val="22"/>
        </w:rPr>
        <w:t xml:space="preserve"> were overweight </w:t>
      </w:r>
      <w:r w:rsidR="0095371B">
        <w:rPr>
          <w:rFonts w:asciiTheme="minorHAnsi" w:hAnsiTheme="minorHAnsi" w:cstheme="minorHAnsi"/>
          <w:sz w:val="22"/>
          <w:szCs w:val="22"/>
        </w:rPr>
        <w:t xml:space="preserve">and </w:t>
      </w:r>
      <w:r>
        <w:rPr>
          <w:rFonts w:asciiTheme="minorHAnsi" w:hAnsiTheme="minorHAnsi" w:cstheme="minorHAnsi"/>
          <w:sz w:val="22"/>
          <w:szCs w:val="22"/>
        </w:rPr>
        <w:t>6</w:t>
      </w:r>
      <w:r w:rsidR="0095371B" w:rsidRPr="00BA5E1E">
        <w:rPr>
          <w:rFonts w:asciiTheme="minorHAnsi" w:hAnsiTheme="minorHAnsi" w:cstheme="minorHAnsi"/>
          <w:sz w:val="22"/>
          <w:szCs w:val="22"/>
        </w:rPr>
        <w:t xml:space="preserve">% </w:t>
      </w:r>
      <w:r w:rsidR="0095371B" w:rsidRPr="00BA5E1E">
        <w:rPr>
          <w:rFonts w:asciiTheme="minorHAnsi" w:hAnsiTheme="minorHAnsi" w:cstheme="minorHAnsi"/>
          <w:sz w:val="22"/>
          <w:szCs w:val="22"/>
        </w:rPr>
        <w:lastRenderedPageBreak/>
        <w:t>were classed as obese.  The</w:t>
      </w:r>
      <w:r>
        <w:rPr>
          <w:rFonts w:asciiTheme="minorHAnsi" w:hAnsiTheme="minorHAnsi" w:cstheme="minorHAnsi"/>
          <w:sz w:val="22"/>
          <w:szCs w:val="22"/>
        </w:rPr>
        <w:t>r</w:t>
      </w:r>
      <w:r w:rsidR="0095371B" w:rsidRPr="00BA5E1E">
        <w:rPr>
          <w:rFonts w:asciiTheme="minorHAnsi" w:hAnsiTheme="minorHAnsi" w:cstheme="minorHAnsi"/>
          <w:sz w:val="22"/>
          <w:szCs w:val="22"/>
        </w:rPr>
        <w:t xml:space="preserve">e </w:t>
      </w:r>
      <w:r>
        <w:rPr>
          <w:rFonts w:asciiTheme="minorHAnsi" w:hAnsiTheme="minorHAnsi" w:cstheme="minorHAnsi"/>
          <w:sz w:val="22"/>
          <w:szCs w:val="22"/>
        </w:rPr>
        <w:t xml:space="preserve">was no significant difference between </w:t>
      </w:r>
      <w:r w:rsidR="0095371B" w:rsidRPr="00BA5E1E">
        <w:rPr>
          <w:rFonts w:asciiTheme="minorHAnsi" w:hAnsiTheme="minorHAnsi" w:cstheme="minorHAnsi"/>
          <w:sz w:val="22"/>
          <w:szCs w:val="22"/>
        </w:rPr>
        <w:t>boys and girls.</w:t>
      </w:r>
    </w:p>
    <w:p w:rsidR="008F4E34" w:rsidRDefault="008F4E34" w:rsidP="0095371B">
      <w:pPr>
        <w:tabs>
          <w:tab w:val="center" w:pos="4075"/>
        </w:tabs>
        <w:autoSpaceDE w:val="0"/>
        <w:autoSpaceDN w:val="0"/>
        <w:adjustRightInd w:val="0"/>
        <w:spacing w:after="60"/>
        <w:rPr>
          <w:rFonts w:asciiTheme="minorHAnsi" w:hAnsiTheme="minorHAnsi" w:cstheme="minorHAnsi"/>
          <w:sz w:val="22"/>
          <w:szCs w:val="22"/>
        </w:rPr>
      </w:pPr>
      <w:r w:rsidRPr="008F4E34">
        <w:rPr>
          <w:rFonts w:asciiTheme="minorHAnsi" w:hAnsiTheme="minorHAnsi" w:cstheme="minorHAnsi"/>
          <w:noProof/>
          <w:sz w:val="22"/>
          <w:szCs w:val="22"/>
          <w:lang w:val="en-IE" w:eastAsia="en-IE"/>
        </w:rPr>
        <w:drawing>
          <wp:inline distT="0" distB="0" distL="0" distR="0">
            <wp:extent cx="4320000" cy="2524125"/>
            <wp:effectExtent l="1905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91AFF" w:rsidRPr="001D7F3A" w:rsidRDefault="00640494" w:rsidP="00AD2B70">
      <w:pPr>
        <w:tabs>
          <w:tab w:val="left" w:pos="-180"/>
        </w:tabs>
        <w:suppressAutoHyphens/>
        <w:spacing w:before="240" w:after="120"/>
        <w:rPr>
          <w:rFonts w:asciiTheme="minorHAnsi" w:hAnsiTheme="minorHAnsi" w:cstheme="minorHAnsi"/>
          <w:b/>
          <w:color w:val="CC0000"/>
          <w:sz w:val="22"/>
          <w:szCs w:val="22"/>
        </w:rPr>
      </w:pPr>
      <w:r w:rsidRPr="001D7F3A">
        <w:rPr>
          <w:rFonts w:asciiTheme="minorHAnsi" w:hAnsiTheme="minorHAnsi" w:cstheme="minorHAnsi"/>
          <w:b/>
          <w:color w:val="CC0000"/>
          <w:sz w:val="22"/>
          <w:szCs w:val="22"/>
        </w:rPr>
        <w:t xml:space="preserve">View of Own Weight for Children aged </w:t>
      </w:r>
      <w:r w:rsidR="00206BAD" w:rsidRPr="001D7F3A">
        <w:rPr>
          <w:rFonts w:asciiTheme="minorHAnsi" w:hAnsiTheme="minorHAnsi" w:cstheme="minorHAnsi"/>
          <w:b/>
          <w:color w:val="CC0000"/>
          <w:sz w:val="22"/>
          <w:szCs w:val="22"/>
        </w:rPr>
        <w:t>8-15</w:t>
      </w:r>
    </w:p>
    <w:p w:rsidR="0095371B" w:rsidRPr="00BA5E1E" w:rsidRDefault="0095371B" w:rsidP="00AD2B70">
      <w:pPr>
        <w:tabs>
          <w:tab w:val="center" w:pos="4075"/>
        </w:tabs>
        <w:autoSpaceDE w:val="0"/>
        <w:autoSpaceDN w:val="0"/>
        <w:adjustRightInd w:val="0"/>
        <w:spacing w:after="120" w:line="288" w:lineRule="auto"/>
        <w:rPr>
          <w:rFonts w:asciiTheme="minorHAnsi" w:hAnsiTheme="minorHAnsi" w:cstheme="minorHAnsi"/>
          <w:sz w:val="22"/>
          <w:szCs w:val="22"/>
        </w:rPr>
      </w:pPr>
      <w:r w:rsidRPr="00BA5E1E">
        <w:rPr>
          <w:rFonts w:asciiTheme="minorHAnsi" w:hAnsiTheme="minorHAnsi" w:cstheme="minorHAnsi"/>
          <w:sz w:val="22"/>
          <w:szCs w:val="22"/>
        </w:rPr>
        <w:t xml:space="preserve">Children aged eight and over were asked how they felt </w:t>
      </w:r>
      <w:r>
        <w:rPr>
          <w:rFonts w:asciiTheme="minorHAnsi" w:hAnsiTheme="minorHAnsi" w:cstheme="minorHAnsi"/>
          <w:sz w:val="22"/>
          <w:szCs w:val="22"/>
        </w:rPr>
        <w:t>about their weight.  Over three-</w:t>
      </w:r>
      <w:r w:rsidRPr="00BA5E1E">
        <w:rPr>
          <w:rFonts w:asciiTheme="minorHAnsi" w:hAnsiTheme="minorHAnsi" w:cstheme="minorHAnsi"/>
          <w:sz w:val="22"/>
          <w:szCs w:val="22"/>
        </w:rPr>
        <w:t xml:space="preserve">quarters (77%) thought that they were </w:t>
      </w:r>
      <w:r>
        <w:rPr>
          <w:rFonts w:asciiTheme="minorHAnsi" w:hAnsiTheme="minorHAnsi" w:cstheme="minorHAnsi"/>
          <w:sz w:val="22"/>
          <w:szCs w:val="22"/>
        </w:rPr>
        <w:t>about</w:t>
      </w:r>
      <w:r w:rsidRPr="00BA5E1E">
        <w:rPr>
          <w:rFonts w:asciiTheme="minorHAnsi" w:hAnsiTheme="minorHAnsi" w:cstheme="minorHAnsi"/>
          <w:sz w:val="22"/>
          <w:szCs w:val="22"/>
        </w:rPr>
        <w:t xml:space="preserve"> the right weight while 9% though</w:t>
      </w:r>
      <w:r w:rsidR="00640494">
        <w:rPr>
          <w:rFonts w:asciiTheme="minorHAnsi" w:hAnsiTheme="minorHAnsi" w:cstheme="minorHAnsi"/>
          <w:sz w:val="22"/>
          <w:szCs w:val="22"/>
        </w:rPr>
        <w:t>t that they were too heavy.  M</w:t>
      </w:r>
      <w:r w:rsidRPr="00BA5E1E">
        <w:rPr>
          <w:rFonts w:asciiTheme="minorHAnsi" w:hAnsiTheme="minorHAnsi" w:cstheme="minorHAnsi"/>
          <w:sz w:val="22"/>
          <w:szCs w:val="22"/>
        </w:rPr>
        <w:t>ost children (9</w:t>
      </w:r>
      <w:r>
        <w:rPr>
          <w:rFonts w:asciiTheme="minorHAnsi" w:hAnsiTheme="minorHAnsi" w:cstheme="minorHAnsi"/>
          <w:sz w:val="22"/>
          <w:szCs w:val="22"/>
        </w:rPr>
        <w:t>0</w:t>
      </w:r>
      <w:r w:rsidRPr="00BA5E1E">
        <w:rPr>
          <w:rFonts w:asciiTheme="minorHAnsi" w:hAnsiTheme="minorHAnsi" w:cstheme="minorHAnsi"/>
          <w:sz w:val="22"/>
          <w:szCs w:val="22"/>
        </w:rPr>
        <w:t xml:space="preserve">%) stated that they were not trying to </w:t>
      </w:r>
      <w:r>
        <w:rPr>
          <w:rFonts w:asciiTheme="minorHAnsi" w:hAnsiTheme="minorHAnsi" w:cstheme="minorHAnsi"/>
          <w:sz w:val="22"/>
          <w:szCs w:val="22"/>
        </w:rPr>
        <w:t>change their</w:t>
      </w:r>
      <w:r w:rsidRPr="00BA5E1E">
        <w:rPr>
          <w:rFonts w:asciiTheme="minorHAnsi" w:hAnsiTheme="minorHAnsi" w:cstheme="minorHAnsi"/>
          <w:sz w:val="22"/>
          <w:szCs w:val="22"/>
        </w:rPr>
        <w:t xml:space="preserve"> weight, w</w:t>
      </w:r>
      <w:r w:rsidR="00640494">
        <w:rPr>
          <w:rFonts w:asciiTheme="minorHAnsi" w:hAnsiTheme="minorHAnsi" w:cstheme="minorHAnsi"/>
          <w:sz w:val="22"/>
          <w:szCs w:val="22"/>
        </w:rPr>
        <w:t>ith</w:t>
      </w:r>
      <w:r w:rsidRPr="00BA5E1E">
        <w:rPr>
          <w:rFonts w:asciiTheme="minorHAnsi" w:hAnsiTheme="minorHAnsi" w:cstheme="minorHAnsi"/>
          <w:sz w:val="22"/>
          <w:szCs w:val="22"/>
        </w:rPr>
        <w:t xml:space="preserve"> 6% stat</w:t>
      </w:r>
      <w:r w:rsidR="00640494">
        <w:rPr>
          <w:rFonts w:asciiTheme="minorHAnsi" w:hAnsiTheme="minorHAnsi" w:cstheme="minorHAnsi"/>
          <w:sz w:val="22"/>
          <w:szCs w:val="22"/>
        </w:rPr>
        <w:t>ing</w:t>
      </w:r>
      <w:r w:rsidRPr="00BA5E1E">
        <w:rPr>
          <w:rFonts w:asciiTheme="minorHAnsi" w:hAnsiTheme="minorHAnsi" w:cstheme="minorHAnsi"/>
          <w:sz w:val="22"/>
          <w:szCs w:val="22"/>
        </w:rPr>
        <w:t xml:space="preserve"> that they were</w:t>
      </w:r>
      <w:r>
        <w:rPr>
          <w:rFonts w:asciiTheme="minorHAnsi" w:hAnsiTheme="minorHAnsi" w:cstheme="minorHAnsi"/>
          <w:sz w:val="22"/>
          <w:szCs w:val="22"/>
        </w:rPr>
        <w:t xml:space="preserve"> trying to lose weight</w:t>
      </w:r>
      <w:r w:rsidRPr="00BA5E1E">
        <w:rPr>
          <w:rFonts w:asciiTheme="minorHAnsi" w:hAnsiTheme="minorHAnsi" w:cstheme="minorHAnsi"/>
          <w:sz w:val="22"/>
          <w:szCs w:val="22"/>
        </w:rPr>
        <w:t>.</w:t>
      </w:r>
      <w:r>
        <w:rPr>
          <w:rFonts w:asciiTheme="minorHAnsi" w:hAnsiTheme="minorHAnsi" w:cstheme="minorHAnsi"/>
          <w:sz w:val="22"/>
          <w:szCs w:val="22"/>
        </w:rPr>
        <w:t xml:space="preserve">  Over one-third (37%) of those who considered themselves to be too heavy were trying to lose weight.</w:t>
      </w:r>
    </w:p>
    <w:p w:rsidR="0095371B" w:rsidRDefault="0095371B" w:rsidP="00AD2B70">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Over two-third</w:t>
      </w:r>
      <w:r w:rsidR="00640494">
        <w:rPr>
          <w:rFonts w:asciiTheme="minorHAnsi" w:hAnsiTheme="minorHAnsi" w:cstheme="minorHAnsi"/>
          <w:sz w:val="22"/>
          <w:szCs w:val="22"/>
        </w:rPr>
        <w:t>s</w:t>
      </w:r>
      <w:r>
        <w:rPr>
          <w:rFonts w:asciiTheme="minorHAnsi" w:hAnsiTheme="minorHAnsi" w:cstheme="minorHAnsi"/>
          <w:sz w:val="22"/>
          <w:szCs w:val="22"/>
        </w:rPr>
        <w:t xml:space="preserve"> of children aged eight and over (71%) </w:t>
      </w:r>
      <w:r w:rsidR="00640494">
        <w:rPr>
          <w:rFonts w:asciiTheme="minorHAnsi" w:hAnsiTheme="minorHAnsi" w:cstheme="minorHAnsi"/>
          <w:sz w:val="22"/>
          <w:szCs w:val="22"/>
        </w:rPr>
        <w:t>that were assessed</w:t>
      </w:r>
      <w:r>
        <w:rPr>
          <w:rFonts w:asciiTheme="minorHAnsi" w:hAnsiTheme="minorHAnsi" w:cstheme="minorHAnsi"/>
          <w:sz w:val="22"/>
          <w:szCs w:val="22"/>
        </w:rPr>
        <w:t xml:space="preserve"> as overweight felt that t</w:t>
      </w:r>
      <w:r w:rsidR="00640494">
        <w:rPr>
          <w:rFonts w:asciiTheme="minorHAnsi" w:hAnsiTheme="minorHAnsi" w:cstheme="minorHAnsi"/>
          <w:sz w:val="22"/>
          <w:szCs w:val="22"/>
        </w:rPr>
        <w:t>hey were about the right weight.  H</w:t>
      </w:r>
      <w:r>
        <w:rPr>
          <w:rFonts w:asciiTheme="minorHAnsi" w:hAnsiTheme="minorHAnsi" w:cstheme="minorHAnsi"/>
          <w:sz w:val="22"/>
          <w:szCs w:val="22"/>
        </w:rPr>
        <w:t xml:space="preserve">alf </w:t>
      </w:r>
      <w:r w:rsidR="00640494">
        <w:rPr>
          <w:rFonts w:asciiTheme="minorHAnsi" w:hAnsiTheme="minorHAnsi" w:cstheme="minorHAnsi"/>
          <w:sz w:val="22"/>
          <w:szCs w:val="22"/>
        </w:rPr>
        <w:t>of children classified</w:t>
      </w:r>
      <w:r>
        <w:rPr>
          <w:rFonts w:asciiTheme="minorHAnsi" w:hAnsiTheme="minorHAnsi" w:cstheme="minorHAnsi"/>
          <w:sz w:val="22"/>
          <w:szCs w:val="22"/>
        </w:rPr>
        <w:t xml:space="preserve"> as obese </w:t>
      </w:r>
      <w:r w:rsidR="00640494">
        <w:rPr>
          <w:rFonts w:asciiTheme="minorHAnsi" w:hAnsiTheme="minorHAnsi" w:cstheme="minorHAnsi"/>
          <w:sz w:val="22"/>
          <w:szCs w:val="22"/>
        </w:rPr>
        <w:t xml:space="preserve">(49%) </w:t>
      </w:r>
      <w:r>
        <w:rPr>
          <w:rFonts w:asciiTheme="minorHAnsi" w:hAnsiTheme="minorHAnsi" w:cstheme="minorHAnsi"/>
          <w:sz w:val="22"/>
          <w:szCs w:val="22"/>
        </w:rPr>
        <w:t xml:space="preserve">felt that they were too heavy.  </w:t>
      </w:r>
    </w:p>
    <w:p w:rsidR="00AD2B70" w:rsidRDefault="00AD2B70" w:rsidP="007A412E">
      <w:pPr>
        <w:pStyle w:val="Heading2"/>
        <w:spacing w:before="0" w:after="60"/>
        <w:rPr>
          <w:rFonts w:asciiTheme="minorHAnsi" w:hAnsiTheme="minorHAnsi" w:cstheme="minorHAnsi"/>
          <w:sz w:val="24"/>
          <w:szCs w:val="24"/>
        </w:rPr>
        <w:sectPr w:rsidR="00AD2B70" w:rsidSect="007033B0">
          <w:pgSz w:w="16838" w:h="11906" w:orient="landscape"/>
          <w:pgMar w:top="737" w:right="1247" w:bottom="737" w:left="1247" w:header="454" w:footer="567" w:gutter="0"/>
          <w:cols w:num="2" w:space="454"/>
          <w:docGrid w:linePitch="360"/>
        </w:sectPr>
      </w:pPr>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086A25" w:rsidRPr="00DC2342" w:rsidTr="00086A25">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CCFF99"/>
            </w:tcBorders>
            <w:shd w:val="clear" w:color="auto" w:fill="99CC00"/>
            <w:textDirection w:val="btLr"/>
          </w:tcPr>
          <w:p w:rsidR="00086A25" w:rsidRPr="00086A25" w:rsidRDefault="00086A25" w:rsidP="00086A25">
            <w:pPr>
              <w:pStyle w:val="Heading2"/>
              <w:spacing w:before="0" w:after="60"/>
              <w:ind w:left="113" w:right="113"/>
              <w:jc w:val="center"/>
              <w:outlineLvl w:val="1"/>
              <w:rPr>
                <w:rFonts w:ascii="Calibri" w:hAnsi="Calibri" w:cs="Calibri"/>
                <w:i/>
                <w:color w:val="CCFF99"/>
                <w:sz w:val="72"/>
                <w:szCs w:val="72"/>
              </w:rPr>
            </w:pPr>
            <w:bookmarkStart w:id="46" w:name="_Ref382555583"/>
            <w:r w:rsidRPr="00086A25">
              <w:rPr>
                <w:rFonts w:ascii="Calibri" w:hAnsi="Calibri" w:cs="Calibri"/>
                <w:i/>
                <w:color w:val="CCFF99"/>
                <w:sz w:val="72"/>
                <w:szCs w:val="72"/>
              </w:rPr>
              <w:lastRenderedPageBreak/>
              <w:t>Breastfeeding</w:t>
            </w:r>
            <w:bookmarkEnd w:id="46"/>
            <w:r w:rsidRPr="00086A25">
              <w:rPr>
                <w:rFonts w:ascii="Calibri" w:hAnsi="Calibri" w:cs="Calibri"/>
                <w:i/>
                <w:color w:val="CCFF99"/>
                <w:sz w:val="72"/>
                <w:szCs w:val="72"/>
              </w:rPr>
              <w:t xml:space="preserve"> </w:t>
            </w:r>
          </w:p>
        </w:tc>
        <w:tc>
          <w:tcPr>
            <w:tcW w:w="5977" w:type="dxa"/>
            <w:tcBorders>
              <w:top w:val="nil"/>
              <w:left w:val="thinThickSmallGap" w:sz="24" w:space="0" w:color="CCFF99"/>
              <w:bottom w:val="nil"/>
              <w:right w:val="nil"/>
            </w:tcBorders>
            <w:shd w:val="clear" w:color="auto" w:fill="99CC00"/>
            <w:vAlign w:val="center"/>
          </w:tcPr>
          <w:p w:rsidR="00086A25" w:rsidRPr="00DC2342" w:rsidRDefault="00086A25" w:rsidP="00086A25">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086A25" w:rsidRPr="00DC2342" w:rsidTr="00086A25">
        <w:trPr>
          <w:cantSplit/>
          <w:trHeight w:val="1446"/>
        </w:trPr>
        <w:tc>
          <w:tcPr>
            <w:tcW w:w="1184" w:type="dxa"/>
            <w:vMerge/>
            <w:tcBorders>
              <w:left w:val="single" w:sz="4" w:space="0" w:color="95B3D7" w:themeColor="accent1" w:themeTint="99"/>
              <w:right w:val="thinThickSmallGap" w:sz="24" w:space="0" w:color="CCFF99"/>
            </w:tcBorders>
            <w:shd w:val="clear" w:color="auto" w:fill="99CC00"/>
          </w:tcPr>
          <w:p w:rsidR="00086A25" w:rsidRPr="006F13A2" w:rsidRDefault="00086A25" w:rsidP="00086A25">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99"/>
              <w:bottom w:val="nil"/>
              <w:right w:val="nil"/>
            </w:tcBorders>
            <w:shd w:val="clear" w:color="auto" w:fill="99CC00"/>
            <w:vAlign w:val="center"/>
          </w:tcPr>
          <w:p w:rsidR="00086A25" w:rsidRPr="00DC2342" w:rsidRDefault="00086A25" w:rsidP="00086A25">
            <w:pPr>
              <w:pStyle w:val="Heading2"/>
              <w:spacing w:before="0" w:after="60"/>
              <w:jc w:val="left"/>
              <w:outlineLvl w:val="1"/>
              <w:rPr>
                <w:rFonts w:asciiTheme="minorHAnsi" w:hAnsiTheme="minorHAnsi" w:cstheme="minorHAnsi"/>
                <w:i/>
                <w:color w:val="FFFFFF" w:themeColor="background1"/>
                <w:sz w:val="28"/>
                <w:szCs w:val="28"/>
              </w:rPr>
            </w:pPr>
            <w:r w:rsidRPr="00086A25">
              <w:rPr>
                <w:rFonts w:asciiTheme="minorHAnsi" w:hAnsiTheme="minorHAnsi" w:cstheme="minorHAnsi"/>
                <w:i/>
                <w:color w:val="FFFFFF" w:themeColor="background1"/>
                <w:sz w:val="28"/>
                <w:szCs w:val="28"/>
              </w:rPr>
              <w:t xml:space="preserve">Statements on </w:t>
            </w:r>
            <w:r>
              <w:rPr>
                <w:rFonts w:asciiTheme="minorHAnsi" w:hAnsiTheme="minorHAnsi" w:cstheme="minorHAnsi"/>
                <w:i/>
                <w:color w:val="FFFFFF" w:themeColor="background1"/>
                <w:sz w:val="28"/>
                <w:szCs w:val="28"/>
              </w:rPr>
              <w:t>b</w:t>
            </w:r>
            <w:r w:rsidRPr="00086A25">
              <w:rPr>
                <w:rFonts w:asciiTheme="minorHAnsi" w:hAnsiTheme="minorHAnsi" w:cstheme="minorHAnsi"/>
                <w:i/>
                <w:color w:val="FFFFFF" w:themeColor="background1"/>
                <w:sz w:val="28"/>
                <w:szCs w:val="28"/>
              </w:rPr>
              <w:t xml:space="preserve">reastfeeding </w:t>
            </w:r>
            <w:r>
              <w:rPr>
                <w:rFonts w:asciiTheme="minorHAnsi" w:hAnsiTheme="minorHAnsi" w:cstheme="minorHAnsi"/>
                <w:i/>
                <w:color w:val="FFFFFF" w:themeColor="background1"/>
                <w:sz w:val="28"/>
                <w:szCs w:val="28"/>
              </w:rPr>
              <w:t>p</w:t>
            </w:r>
            <w:r w:rsidRPr="00086A25">
              <w:rPr>
                <w:rFonts w:asciiTheme="minorHAnsi" w:hAnsiTheme="minorHAnsi" w:cstheme="minorHAnsi"/>
                <w:i/>
                <w:color w:val="FFFFFF" w:themeColor="background1"/>
                <w:sz w:val="28"/>
                <w:szCs w:val="28"/>
              </w:rPr>
              <w:t xml:space="preserve">roviding </w:t>
            </w:r>
            <w:r>
              <w:rPr>
                <w:rFonts w:asciiTheme="minorHAnsi" w:hAnsiTheme="minorHAnsi" w:cstheme="minorHAnsi"/>
                <w:i/>
                <w:color w:val="FFFFFF" w:themeColor="background1"/>
                <w:sz w:val="28"/>
                <w:szCs w:val="28"/>
              </w:rPr>
              <w:t>p</w:t>
            </w:r>
            <w:r w:rsidRPr="00086A25">
              <w:rPr>
                <w:rFonts w:asciiTheme="minorHAnsi" w:hAnsiTheme="minorHAnsi" w:cstheme="minorHAnsi"/>
                <w:i/>
                <w:color w:val="FFFFFF" w:themeColor="background1"/>
                <w:sz w:val="28"/>
                <w:szCs w:val="28"/>
              </w:rPr>
              <w:t xml:space="preserve">rotection from </w:t>
            </w:r>
            <w:r>
              <w:rPr>
                <w:rFonts w:asciiTheme="minorHAnsi" w:hAnsiTheme="minorHAnsi" w:cstheme="minorHAnsi"/>
                <w:i/>
                <w:color w:val="FFFFFF" w:themeColor="background1"/>
                <w:sz w:val="28"/>
                <w:szCs w:val="28"/>
              </w:rPr>
              <w:t>d</w:t>
            </w:r>
            <w:r w:rsidRPr="00086A25">
              <w:rPr>
                <w:rFonts w:asciiTheme="minorHAnsi" w:hAnsiTheme="minorHAnsi" w:cstheme="minorHAnsi"/>
                <w:i/>
                <w:color w:val="FFFFFF" w:themeColor="background1"/>
                <w:sz w:val="28"/>
                <w:szCs w:val="28"/>
              </w:rPr>
              <w:t>iseases</w:t>
            </w:r>
          </w:p>
        </w:tc>
      </w:tr>
      <w:tr w:rsidR="00086A25" w:rsidRPr="00DC2342" w:rsidTr="00086A25">
        <w:trPr>
          <w:cantSplit/>
          <w:trHeight w:val="1446"/>
        </w:trPr>
        <w:tc>
          <w:tcPr>
            <w:tcW w:w="1184" w:type="dxa"/>
            <w:vMerge/>
            <w:tcBorders>
              <w:left w:val="single" w:sz="4" w:space="0" w:color="95B3D7" w:themeColor="accent1" w:themeTint="99"/>
              <w:right w:val="thinThickSmallGap" w:sz="24" w:space="0" w:color="CCFF99"/>
            </w:tcBorders>
            <w:shd w:val="clear" w:color="auto" w:fill="99CC00"/>
          </w:tcPr>
          <w:p w:rsidR="00086A25" w:rsidRPr="006F13A2" w:rsidRDefault="00086A25" w:rsidP="00086A25">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99"/>
              <w:bottom w:val="nil"/>
              <w:right w:val="nil"/>
            </w:tcBorders>
            <w:shd w:val="clear" w:color="auto" w:fill="99CC00"/>
            <w:vAlign w:val="center"/>
          </w:tcPr>
          <w:p w:rsidR="00086A25" w:rsidRPr="00DC2342" w:rsidRDefault="00086A25" w:rsidP="00086A25">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Opinion on breastfeeding</w:t>
            </w:r>
          </w:p>
        </w:tc>
      </w:tr>
      <w:tr w:rsidR="00086A25" w:rsidRPr="00DC2342" w:rsidTr="00086A25">
        <w:trPr>
          <w:cantSplit/>
          <w:trHeight w:val="1446"/>
        </w:trPr>
        <w:tc>
          <w:tcPr>
            <w:tcW w:w="1184" w:type="dxa"/>
            <w:vMerge/>
            <w:tcBorders>
              <w:left w:val="single" w:sz="4" w:space="0" w:color="95B3D7" w:themeColor="accent1" w:themeTint="99"/>
              <w:right w:val="thinThickSmallGap" w:sz="24" w:space="0" w:color="CCFF99"/>
            </w:tcBorders>
            <w:shd w:val="clear" w:color="auto" w:fill="99CC00"/>
          </w:tcPr>
          <w:p w:rsidR="00086A25" w:rsidRPr="006F13A2" w:rsidRDefault="00086A25" w:rsidP="00086A25">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99"/>
              <w:bottom w:val="nil"/>
              <w:right w:val="nil"/>
            </w:tcBorders>
            <w:shd w:val="clear" w:color="auto" w:fill="99CC00"/>
            <w:vAlign w:val="center"/>
          </w:tcPr>
          <w:p w:rsidR="00086A25" w:rsidRPr="00DC2342" w:rsidRDefault="00086A25" w:rsidP="00086A25">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Proportion of mothers who breastfed their babies</w:t>
            </w:r>
          </w:p>
        </w:tc>
      </w:tr>
      <w:tr w:rsidR="00086A25" w:rsidRPr="00DC2342" w:rsidTr="00086A25">
        <w:trPr>
          <w:cantSplit/>
          <w:trHeight w:val="1446"/>
        </w:trPr>
        <w:tc>
          <w:tcPr>
            <w:tcW w:w="1184" w:type="dxa"/>
            <w:vMerge/>
            <w:tcBorders>
              <w:left w:val="single" w:sz="4" w:space="0" w:color="95B3D7" w:themeColor="accent1" w:themeTint="99"/>
              <w:right w:val="thinThickSmallGap" w:sz="24" w:space="0" w:color="CCFF99"/>
            </w:tcBorders>
            <w:shd w:val="clear" w:color="auto" w:fill="99CC00"/>
          </w:tcPr>
          <w:p w:rsidR="00086A25" w:rsidRPr="006F13A2" w:rsidRDefault="00086A25" w:rsidP="00086A25">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99"/>
              <w:bottom w:val="nil"/>
              <w:right w:val="nil"/>
            </w:tcBorders>
            <w:shd w:val="clear" w:color="auto" w:fill="99CC00"/>
            <w:vAlign w:val="center"/>
          </w:tcPr>
          <w:p w:rsidR="00086A25" w:rsidRDefault="00086A25" w:rsidP="00086A25">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br/>
              <w:t>Opinion on formula vs breast milk</w:t>
            </w:r>
          </w:p>
        </w:tc>
      </w:tr>
      <w:tr w:rsidR="00086A25" w:rsidRPr="00DC2342" w:rsidTr="00086A25">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CCFF99"/>
            </w:tcBorders>
            <w:shd w:val="clear" w:color="auto" w:fill="99CC00"/>
          </w:tcPr>
          <w:p w:rsidR="00086A25" w:rsidRPr="006F13A2" w:rsidRDefault="00086A25" w:rsidP="00086A25">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CCFF99"/>
              <w:bottom w:val="nil"/>
              <w:right w:val="nil"/>
            </w:tcBorders>
            <w:shd w:val="clear" w:color="auto" w:fill="99CC00"/>
            <w:vAlign w:val="center"/>
          </w:tcPr>
          <w:p w:rsidR="00086A25" w:rsidRPr="00DC2342" w:rsidRDefault="00086A25" w:rsidP="00086A25">
            <w:pPr>
              <w:pStyle w:val="Heading2"/>
              <w:spacing w:before="0" w:after="60"/>
              <w:outlineLvl w:val="1"/>
              <w:rPr>
                <w:rFonts w:asciiTheme="minorHAnsi" w:hAnsiTheme="minorHAnsi" w:cstheme="minorHAnsi"/>
                <w:i/>
                <w:color w:val="FFFFFF" w:themeColor="background1"/>
                <w:sz w:val="28"/>
                <w:szCs w:val="28"/>
              </w:rPr>
            </w:pPr>
          </w:p>
        </w:tc>
      </w:tr>
    </w:tbl>
    <w:p w:rsidR="00DF488D" w:rsidRDefault="00DF488D" w:rsidP="00DF488D">
      <w:pPr>
        <w:jc w:val="left"/>
        <w:rPr>
          <w:rFonts w:asciiTheme="minorHAnsi" w:hAnsiTheme="minorHAnsi" w:cstheme="minorHAnsi"/>
          <w:i/>
          <w:sz w:val="22"/>
          <w:szCs w:val="22"/>
        </w:rPr>
      </w:pPr>
    </w:p>
    <w:p w:rsidR="00DF488D" w:rsidRPr="00DB0092" w:rsidRDefault="00DF488D" w:rsidP="00DF488D">
      <w:pPr>
        <w:jc w:val="left"/>
        <w:rPr>
          <w:rFonts w:asciiTheme="minorHAnsi" w:hAnsiTheme="minorHAnsi" w:cstheme="minorHAnsi"/>
          <w:i/>
          <w:sz w:val="22"/>
          <w:szCs w:val="22"/>
        </w:rPr>
      </w:pPr>
    </w:p>
    <w:p w:rsidR="00DF488D" w:rsidRPr="00DB0092" w:rsidRDefault="00DF488D" w:rsidP="00DF488D">
      <w:pPr>
        <w:jc w:val="left"/>
        <w:rPr>
          <w:rFonts w:asciiTheme="minorHAnsi" w:hAnsiTheme="minorHAnsi" w:cstheme="minorHAnsi"/>
          <w:i/>
          <w:sz w:val="22"/>
          <w:szCs w:val="22"/>
        </w:rPr>
      </w:pPr>
    </w:p>
    <w:p w:rsidR="00DF488D" w:rsidRPr="00DB0092" w:rsidRDefault="00DF488D" w:rsidP="00DF488D">
      <w:pPr>
        <w:jc w:val="left"/>
        <w:rPr>
          <w:rFonts w:asciiTheme="minorHAnsi" w:hAnsiTheme="minorHAnsi" w:cstheme="minorHAnsi"/>
          <w:i/>
          <w:sz w:val="22"/>
          <w:szCs w:val="22"/>
        </w:rPr>
      </w:pPr>
    </w:p>
    <w:tbl>
      <w:tblPr>
        <w:tblStyle w:val="TableGrid"/>
        <w:tblW w:w="7260" w:type="dxa"/>
        <w:tblLook w:val="04A0" w:firstRow="1" w:lastRow="0" w:firstColumn="1" w:lastColumn="0" w:noHBand="0" w:noVBand="1"/>
      </w:tblPr>
      <w:tblGrid>
        <w:gridCol w:w="1432"/>
        <w:gridCol w:w="1432"/>
        <w:gridCol w:w="1432"/>
        <w:gridCol w:w="1432"/>
        <w:gridCol w:w="99"/>
        <w:gridCol w:w="1334"/>
        <w:gridCol w:w="99"/>
      </w:tblGrid>
      <w:tr w:rsidR="004A3386" w:rsidRPr="00DB0092" w:rsidTr="004A3386">
        <w:trPr>
          <w:gridAfter w:val="1"/>
          <w:wAfter w:w="99" w:type="dxa"/>
          <w:trHeight w:val="1361"/>
        </w:trPr>
        <w:tc>
          <w:tcPr>
            <w:tcW w:w="2864" w:type="dxa"/>
            <w:gridSpan w:val="2"/>
            <w:tcBorders>
              <w:top w:val="nil"/>
              <w:left w:val="nil"/>
              <w:bottom w:val="nil"/>
              <w:right w:val="nil"/>
            </w:tcBorders>
            <w:shd w:val="clear" w:color="auto" w:fill="99CC00"/>
            <w:vAlign w:val="center"/>
          </w:tcPr>
          <w:p w:rsidR="00DF488D" w:rsidRPr="00DB0092" w:rsidRDefault="004A3386" w:rsidP="004A3386">
            <w:pPr>
              <w:jc w:val="left"/>
              <w:rPr>
                <w:rFonts w:asciiTheme="minorHAnsi" w:hAnsiTheme="minorHAnsi" w:cstheme="minorHAnsi"/>
                <w:b/>
                <w:i/>
                <w:color w:val="FFFFFF" w:themeColor="background1"/>
              </w:rPr>
            </w:pPr>
            <w:r w:rsidRPr="00DB0092">
              <w:rPr>
                <w:rFonts w:asciiTheme="minorHAnsi" w:hAnsiTheme="minorHAnsi" w:cstheme="minorHAnsi"/>
                <w:i/>
                <w:color w:val="FFFFFF" w:themeColor="background1"/>
              </w:rPr>
              <w:t>74% of respondents agreed that women should be made feel comfortable breastfeeding their babies in public</w:t>
            </w: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2865" w:type="dxa"/>
            <w:gridSpan w:val="3"/>
            <w:vMerge w:val="restart"/>
            <w:tcBorders>
              <w:top w:val="nil"/>
              <w:left w:val="nil"/>
              <w:bottom w:val="nil"/>
              <w:right w:val="nil"/>
            </w:tcBorders>
            <w:shd w:val="clear" w:color="auto" w:fill="666633"/>
            <w:vAlign w:val="center"/>
          </w:tcPr>
          <w:p w:rsidR="00DF488D" w:rsidRPr="00DB0092" w:rsidRDefault="004A3386" w:rsidP="004A3386">
            <w:pPr>
              <w:jc w:val="left"/>
              <w:rPr>
                <w:rFonts w:asciiTheme="minorHAnsi" w:hAnsiTheme="minorHAnsi" w:cstheme="minorHAnsi"/>
                <w:b/>
                <w:i/>
                <w:color w:val="FFFFFF" w:themeColor="background1"/>
                <w:sz w:val="26"/>
                <w:szCs w:val="26"/>
              </w:rPr>
            </w:pPr>
            <w:r w:rsidRPr="00DB0092">
              <w:rPr>
                <w:rFonts w:asciiTheme="minorHAnsi" w:hAnsiTheme="minorHAnsi" w:cstheme="minorHAnsi"/>
                <w:b/>
                <w:i/>
                <w:color w:val="FFFFFF" w:themeColor="background1"/>
                <w:sz w:val="26"/>
                <w:szCs w:val="26"/>
              </w:rPr>
              <w:t>37% of mothers in the most deprived areas breastfed their baby compared with 64% of mothers in the least deprived areas</w:t>
            </w:r>
          </w:p>
        </w:tc>
      </w:tr>
      <w:tr w:rsidR="004A3386" w:rsidRPr="00DB0092" w:rsidTr="00086A25">
        <w:trPr>
          <w:gridAfter w:val="1"/>
          <w:wAfter w:w="99" w:type="dxa"/>
          <w:trHeight w:val="1020"/>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2865" w:type="dxa"/>
            <w:gridSpan w:val="3"/>
            <w:vMerge/>
            <w:tcBorders>
              <w:top w:val="nil"/>
              <w:left w:val="nil"/>
              <w:bottom w:val="nil"/>
              <w:right w:val="nil"/>
            </w:tcBorders>
            <w:shd w:val="clear" w:color="auto" w:fill="666633"/>
          </w:tcPr>
          <w:p w:rsidR="00DF488D" w:rsidRPr="00DB0092" w:rsidRDefault="00DF488D" w:rsidP="00DF488D">
            <w:pPr>
              <w:jc w:val="left"/>
              <w:rPr>
                <w:rFonts w:asciiTheme="minorHAnsi" w:hAnsiTheme="minorHAnsi" w:cstheme="minorHAnsi"/>
                <w:b/>
                <w:i/>
                <w:color w:val="FFFFFF" w:themeColor="background1"/>
                <w:sz w:val="22"/>
                <w:szCs w:val="22"/>
              </w:rPr>
            </w:pPr>
          </w:p>
        </w:tc>
      </w:tr>
      <w:tr w:rsidR="00DF488D" w:rsidRPr="00DB0092" w:rsidTr="00DF488D">
        <w:trPr>
          <w:gridAfter w:val="1"/>
          <w:wAfter w:w="99" w:type="dxa"/>
          <w:trHeight w:val="340"/>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DF488D" w:rsidRPr="00DB0092" w:rsidTr="00086A25">
        <w:trPr>
          <w:gridAfter w:val="1"/>
          <w:wAfter w:w="99" w:type="dxa"/>
          <w:trHeight w:val="1587"/>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CCFF66"/>
            <w:vAlign w:val="center"/>
          </w:tcPr>
          <w:p w:rsidR="00DF488D" w:rsidRPr="00DB0092" w:rsidRDefault="00DB0092" w:rsidP="00DB0092">
            <w:pPr>
              <w:jc w:val="left"/>
              <w:rPr>
                <w:rFonts w:asciiTheme="minorHAnsi" w:hAnsiTheme="minorHAnsi" w:cstheme="minorHAnsi"/>
                <w:i/>
                <w:color w:val="666633"/>
                <w:sz w:val="28"/>
                <w:szCs w:val="28"/>
              </w:rPr>
            </w:pPr>
            <w:r w:rsidRPr="00DB0092">
              <w:rPr>
                <w:rFonts w:asciiTheme="minorHAnsi" w:hAnsiTheme="minorHAnsi" w:cstheme="minorHAnsi"/>
                <w:i/>
                <w:color w:val="666633"/>
                <w:sz w:val="28"/>
                <w:szCs w:val="28"/>
              </w:rPr>
              <w:t xml:space="preserve">85% of respondents agreed that breastfeeding is good for baby </w:t>
            </w:r>
          </w:p>
        </w:tc>
        <w:tc>
          <w:tcPr>
            <w:tcW w:w="1433" w:type="dxa"/>
            <w:gridSpan w:val="2"/>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4A3386" w:rsidRPr="00DB0092" w:rsidTr="00DF488D">
        <w:trPr>
          <w:gridAfter w:val="1"/>
          <w:wAfter w:w="99" w:type="dxa"/>
          <w:trHeight w:val="510"/>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4A3386" w:rsidRPr="00DB0092" w:rsidTr="00DB0092">
        <w:trPr>
          <w:trHeight w:val="1361"/>
        </w:trPr>
        <w:tc>
          <w:tcPr>
            <w:tcW w:w="2864" w:type="dxa"/>
            <w:gridSpan w:val="2"/>
            <w:vMerge w:val="restart"/>
            <w:tcBorders>
              <w:top w:val="nil"/>
              <w:left w:val="nil"/>
              <w:bottom w:val="nil"/>
              <w:right w:val="nil"/>
            </w:tcBorders>
            <w:shd w:val="clear" w:color="auto" w:fill="CCFF99"/>
            <w:vAlign w:val="center"/>
          </w:tcPr>
          <w:p w:rsidR="00DF488D" w:rsidRPr="00DB0092" w:rsidRDefault="00DB0092" w:rsidP="00DB0092">
            <w:pPr>
              <w:jc w:val="left"/>
              <w:rPr>
                <w:rFonts w:asciiTheme="minorHAnsi" w:hAnsiTheme="minorHAnsi" w:cstheme="minorHAnsi"/>
                <w:i/>
                <w:color w:val="333300"/>
                <w:sz w:val="26"/>
                <w:szCs w:val="26"/>
              </w:rPr>
            </w:pPr>
            <w:r w:rsidRPr="00DB0092">
              <w:rPr>
                <w:rFonts w:asciiTheme="minorHAnsi" w:hAnsiTheme="minorHAnsi" w:cstheme="minorHAnsi"/>
                <w:i/>
                <w:color w:val="333300"/>
                <w:sz w:val="26"/>
                <w:szCs w:val="26"/>
              </w:rPr>
              <w:t>66% of respondents disagreed that women should only breastfeed their babies at home or in private</w:t>
            </w: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531" w:type="dxa"/>
            <w:gridSpan w:val="2"/>
            <w:tcBorders>
              <w:top w:val="nil"/>
              <w:left w:val="nil"/>
              <w:bottom w:val="nil"/>
              <w:right w:val="nil"/>
            </w:tcBorders>
            <w:shd w:val="clear" w:color="auto" w:fill="333300"/>
            <w:vAlign w:val="center"/>
          </w:tcPr>
          <w:p w:rsidR="00DF488D" w:rsidRPr="00DB0092" w:rsidRDefault="00DB0092" w:rsidP="004A3386">
            <w:pPr>
              <w:jc w:val="left"/>
              <w:rPr>
                <w:rFonts w:asciiTheme="minorHAnsi" w:hAnsiTheme="minorHAnsi" w:cstheme="minorHAnsi"/>
                <w:b/>
                <w:i/>
                <w:color w:val="FFFFFF" w:themeColor="background1"/>
              </w:rPr>
            </w:pPr>
            <w:r w:rsidRPr="00DB0092">
              <w:rPr>
                <w:rFonts w:asciiTheme="minorHAnsi" w:hAnsiTheme="minorHAnsi" w:cstheme="minorHAnsi"/>
                <w:i/>
              </w:rPr>
              <w:t>56% of mothers breastfed at least one of their babies</w:t>
            </w:r>
          </w:p>
        </w:tc>
        <w:tc>
          <w:tcPr>
            <w:tcW w:w="1433" w:type="dxa"/>
            <w:gridSpan w:val="2"/>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4A3386" w:rsidRPr="00DB0092" w:rsidTr="00DB0092">
        <w:trPr>
          <w:gridAfter w:val="1"/>
          <w:wAfter w:w="99" w:type="dxa"/>
          <w:trHeight w:val="567"/>
        </w:trPr>
        <w:tc>
          <w:tcPr>
            <w:tcW w:w="2864" w:type="dxa"/>
            <w:gridSpan w:val="2"/>
            <w:vMerge/>
            <w:tcBorders>
              <w:top w:val="nil"/>
              <w:left w:val="nil"/>
              <w:bottom w:val="nil"/>
              <w:right w:val="nil"/>
            </w:tcBorders>
            <w:shd w:val="clear" w:color="auto" w:fill="CCFF99"/>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DF488D" w:rsidRPr="00DB0092" w:rsidTr="00DF488D">
        <w:trPr>
          <w:gridAfter w:val="1"/>
          <w:wAfter w:w="99" w:type="dxa"/>
          <w:trHeight w:val="283"/>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r>
      <w:tr w:rsidR="00DF488D" w:rsidRPr="00DB0092" w:rsidTr="004A3386">
        <w:trPr>
          <w:gridAfter w:val="1"/>
          <w:wAfter w:w="99" w:type="dxa"/>
          <w:trHeight w:val="1701"/>
        </w:trPr>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DF488D" w:rsidRPr="00DB0092" w:rsidRDefault="00DF488D" w:rsidP="00DF488D">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CCCC00"/>
            <w:vAlign w:val="center"/>
          </w:tcPr>
          <w:p w:rsidR="00DF488D" w:rsidRPr="00DB0092" w:rsidRDefault="004A3386" w:rsidP="00DF488D">
            <w:pPr>
              <w:jc w:val="left"/>
              <w:rPr>
                <w:rFonts w:asciiTheme="minorHAnsi" w:hAnsiTheme="minorHAnsi" w:cstheme="minorHAnsi"/>
                <w:b/>
                <w:i/>
                <w:color w:val="FFFFFF" w:themeColor="background1"/>
                <w:sz w:val="28"/>
                <w:szCs w:val="28"/>
              </w:rPr>
            </w:pPr>
            <w:r w:rsidRPr="00DB0092">
              <w:rPr>
                <w:rFonts w:asciiTheme="minorHAnsi" w:hAnsiTheme="minorHAnsi" w:cstheme="minorHAnsi"/>
                <w:b/>
                <w:i/>
                <w:color w:val="FFFFFF" w:themeColor="background1"/>
                <w:sz w:val="28"/>
                <w:szCs w:val="28"/>
              </w:rPr>
              <w:t>17% of all mothers breastfed their babies for over six months, while a further 13% breastfed for between three and six months</w:t>
            </w:r>
          </w:p>
        </w:tc>
      </w:tr>
    </w:tbl>
    <w:p w:rsidR="00DF488D" w:rsidRDefault="00DF488D" w:rsidP="00DF488D">
      <w:pPr>
        <w:pStyle w:val="Heading2"/>
        <w:spacing w:before="0" w:after="60"/>
        <w:rPr>
          <w:rFonts w:asciiTheme="minorHAnsi" w:hAnsiTheme="minorHAnsi" w:cstheme="minorHAnsi"/>
          <w:sz w:val="24"/>
          <w:szCs w:val="24"/>
        </w:rPr>
        <w:sectPr w:rsidR="00DF488D" w:rsidSect="007033B0">
          <w:pgSz w:w="16838" w:h="11906" w:orient="landscape"/>
          <w:pgMar w:top="737" w:right="1247" w:bottom="737" w:left="1247" w:header="454" w:footer="567" w:gutter="0"/>
          <w:cols w:num="2" w:space="454"/>
          <w:docGrid w:linePitch="360"/>
        </w:sectPr>
      </w:pPr>
    </w:p>
    <w:p w:rsidR="009515D1" w:rsidRPr="00DB0092" w:rsidRDefault="00B728CF" w:rsidP="00DF488D">
      <w:pPr>
        <w:pStyle w:val="Heading2"/>
        <w:spacing w:before="0" w:after="120"/>
        <w:rPr>
          <w:rFonts w:asciiTheme="minorHAnsi" w:hAnsiTheme="minorHAnsi" w:cstheme="minorHAnsi"/>
          <w:color w:val="808000"/>
          <w:sz w:val="24"/>
          <w:szCs w:val="24"/>
        </w:rPr>
      </w:pPr>
      <w:r w:rsidRPr="00DB0092">
        <w:rPr>
          <w:rFonts w:asciiTheme="minorHAnsi" w:hAnsiTheme="minorHAnsi" w:cstheme="minorHAnsi"/>
          <w:color w:val="808000"/>
          <w:sz w:val="24"/>
          <w:szCs w:val="24"/>
        </w:rPr>
        <w:lastRenderedPageBreak/>
        <w:t>Breastfeeding</w:t>
      </w:r>
    </w:p>
    <w:p w:rsidR="00B728CF" w:rsidRPr="00DB0092" w:rsidRDefault="00B728CF" w:rsidP="00DF488D">
      <w:pPr>
        <w:tabs>
          <w:tab w:val="left" w:pos="-180"/>
        </w:tabs>
        <w:suppressAutoHyphens/>
        <w:spacing w:after="120"/>
        <w:rPr>
          <w:rFonts w:asciiTheme="minorHAnsi" w:hAnsiTheme="minorHAnsi" w:cstheme="minorHAnsi"/>
          <w:b/>
          <w:color w:val="808000"/>
          <w:sz w:val="22"/>
          <w:szCs w:val="22"/>
        </w:rPr>
      </w:pPr>
      <w:r w:rsidRPr="00DB0092">
        <w:rPr>
          <w:rFonts w:asciiTheme="minorHAnsi" w:hAnsiTheme="minorHAnsi" w:cstheme="minorHAnsi"/>
          <w:b/>
          <w:color w:val="808000"/>
          <w:sz w:val="22"/>
          <w:szCs w:val="22"/>
        </w:rPr>
        <w:t>Background</w:t>
      </w:r>
    </w:p>
    <w:p w:rsidR="00046884" w:rsidRPr="009B1C0F" w:rsidRDefault="00B728CF" w:rsidP="00DF488D">
      <w:pPr>
        <w:tabs>
          <w:tab w:val="left" w:pos="-180"/>
        </w:tabs>
        <w:suppressAutoHyphens/>
        <w:spacing w:after="120" w:line="288" w:lineRule="auto"/>
        <w:rPr>
          <w:rFonts w:ascii="Calibri" w:hAnsi="Calibri" w:cs="Calibri"/>
          <w:sz w:val="22"/>
          <w:szCs w:val="22"/>
        </w:rPr>
      </w:pPr>
      <w:r w:rsidRPr="00B728CF">
        <w:rPr>
          <w:rFonts w:asciiTheme="minorHAnsi" w:hAnsiTheme="minorHAnsi" w:cstheme="minorHAnsi"/>
          <w:sz w:val="22"/>
          <w:szCs w:val="22"/>
        </w:rPr>
        <w:t xml:space="preserve">The </w:t>
      </w:r>
      <w:r w:rsidR="00B56360">
        <w:rPr>
          <w:rFonts w:asciiTheme="minorHAnsi" w:hAnsiTheme="minorHAnsi" w:cstheme="minorHAnsi"/>
          <w:sz w:val="22"/>
          <w:szCs w:val="22"/>
        </w:rPr>
        <w:t xml:space="preserve">DHSSPS </w:t>
      </w:r>
      <w:r w:rsidR="00206BAD">
        <w:rPr>
          <w:rFonts w:asciiTheme="minorHAnsi" w:hAnsiTheme="minorHAnsi" w:cstheme="minorHAnsi"/>
          <w:sz w:val="22"/>
          <w:szCs w:val="22"/>
        </w:rPr>
        <w:t>‘</w:t>
      </w:r>
      <w:r w:rsidR="00B56360" w:rsidRPr="00B56360">
        <w:rPr>
          <w:rFonts w:asciiTheme="minorHAnsi" w:hAnsiTheme="minorHAnsi" w:cstheme="minorHAnsi"/>
          <w:sz w:val="22"/>
          <w:szCs w:val="22"/>
        </w:rPr>
        <w:t>Breastfeeding - A Great Start: A Strategy for Northern Ireland 2013-2023</w:t>
      </w:r>
      <w:r w:rsidR="00206BAD">
        <w:rPr>
          <w:rFonts w:asciiTheme="minorHAnsi" w:hAnsiTheme="minorHAnsi" w:cstheme="minorHAnsi"/>
          <w:sz w:val="22"/>
          <w:szCs w:val="22"/>
        </w:rPr>
        <w:t>’</w:t>
      </w:r>
      <w:r w:rsidR="00B56360">
        <w:rPr>
          <w:rFonts w:asciiTheme="minorHAnsi" w:hAnsiTheme="minorHAnsi" w:cstheme="minorHAnsi"/>
          <w:sz w:val="22"/>
          <w:szCs w:val="22"/>
        </w:rPr>
        <w:t xml:space="preserve"> </w:t>
      </w:r>
      <w:r w:rsidRPr="00B728CF">
        <w:rPr>
          <w:rFonts w:asciiTheme="minorHAnsi" w:hAnsiTheme="minorHAnsi" w:cstheme="minorHAnsi"/>
          <w:sz w:val="22"/>
          <w:szCs w:val="22"/>
        </w:rPr>
        <w:t xml:space="preserve">is aimed at improving the health and wellbeing of mothers and babies by setting out standards to protect, promote, support and normalise breastfeeding in Northern Ireland.  </w:t>
      </w:r>
      <w:r w:rsidR="00046884">
        <w:rPr>
          <w:rFonts w:asciiTheme="minorHAnsi" w:hAnsiTheme="minorHAnsi" w:cstheme="minorHAnsi"/>
          <w:sz w:val="22"/>
          <w:szCs w:val="22"/>
        </w:rPr>
        <w:t>B</w:t>
      </w:r>
      <w:r w:rsidR="00046884" w:rsidRPr="009B1C0F">
        <w:rPr>
          <w:rFonts w:ascii="Calibri" w:hAnsi="Calibri" w:cs="Calibri"/>
          <w:sz w:val="22"/>
          <w:szCs w:val="22"/>
        </w:rPr>
        <w:t xml:space="preserve">reastfeeding is a public health issue </w:t>
      </w:r>
      <w:r w:rsidR="00DC1EA8">
        <w:rPr>
          <w:rFonts w:ascii="Calibri" w:hAnsi="Calibri" w:cs="Calibri"/>
          <w:sz w:val="22"/>
          <w:szCs w:val="22"/>
        </w:rPr>
        <w:t>as</w:t>
      </w:r>
      <w:r w:rsidR="00046884" w:rsidRPr="009B1C0F">
        <w:rPr>
          <w:rFonts w:ascii="Calibri" w:hAnsi="Calibri" w:cs="Calibri"/>
          <w:sz w:val="22"/>
          <w:szCs w:val="22"/>
        </w:rPr>
        <w:t xml:space="preserve"> it promotes health, prevents disease and helps contribute to reducing health inequalities.  </w:t>
      </w:r>
      <w:r w:rsidR="00DC1EA8">
        <w:rPr>
          <w:rFonts w:ascii="Calibri" w:hAnsi="Calibri" w:cs="Calibri"/>
          <w:sz w:val="22"/>
          <w:szCs w:val="22"/>
        </w:rPr>
        <w:t>Thus</w:t>
      </w:r>
      <w:r w:rsidR="00046884" w:rsidRPr="009B1C0F">
        <w:rPr>
          <w:rFonts w:ascii="Calibri" w:hAnsi="Calibri" w:cs="Calibri"/>
          <w:sz w:val="22"/>
          <w:szCs w:val="22"/>
        </w:rPr>
        <w:t xml:space="preserve">, respondents were </w:t>
      </w:r>
      <w:r w:rsidR="00046884">
        <w:rPr>
          <w:rFonts w:ascii="Calibri" w:hAnsi="Calibri" w:cs="Calibri"/>
          <w:sz w:val="22"/>
          <w:szCs w:val="22"/>
        </w:rPr>
        <w:t>asked to give their opinion on</w:t>
      </w:r>
      <w:r w:rsidR="00046884" w:rsidRPr="009B1C0F">
        <w:rPr>
          <w:rFonts w:ascii="Calibri" w:hAnsi="Calibri" w:cs="Calibri"/>
          <w:sz w:val="22"/>
          <w:szCs w:val="22"/>
        </w:rPr>
        <w:t xml:space="preserve"> a number of statements </w:t>
      </w:r>
      <w:r w:rsidR="00046884">
        <w:rPr>
          <w:rFonts w:ascii="Calibri" w:hAnsi="Calibri" w:cs="Calibri"/>
          <w:sz w:val="22"/>
          <w:szCs w:val="22"/>
        </w:rPr>
        <w:t>about</w:t>
      </w:r>
      <w:r w:rsidR="00046884" w:rsidRPr="009B1C0F">
        <w:rPr>
          <w:rFonts w:ascii="Calibri" w:hAnsi="Calibri" w:cs="Calibri"/>
          <w:sz w:val="22"/>
          <w:szCs w:val="22"/>
        </w:rPr>
        <w:t xml:space="preserve"> breastfeeding.</w:t>
      </w:r>
      <w:r w:rsidR="00046884">
        <w:rPr>
          <w:rFonts w:ascii="Calibri" w:hAnsi="Calibri" w:cs="Calibri"/>
          <w:sz w:val="22"/>
          <w:szCs w:val="22"/>
        </w:rPr>
        <w:t xml:space="preserve">  Mothers were also asked questions regarding breastfeeding their own babies.  </w:t>
      </w:r>
    </w:p>
    <w:p w:rsidR="009515D1" w:rsidRPr="00DB0092" w:rsidRDefault="00C3405E" w:rsidP="00F36997">
      <w:pPr>
        <w:tabs>
          <w:tab w:val="left" w:pos="-180"/>
        </w:tabs>
        <w:suppressAutoHyphens/>
        <w:spacing w:before="360" w:after="120"/>
        <w:rPr>
          <w:rFonts w:asciiTheme="minorHAnsi" w:hAnsiTheme="minorHAnsi" w:cstheme="minorHAnsi"/>
          <w:b/>
          <w:color w:val="808000"/>
          <w:sz w:val="22"/>
          <w:szCs w:val="22"/>
        </w:rPr>
      </w:pPr>
      <w:r w:rsidRPr="00DB0092">
        <w:rPr>
          <w:rFonts w:asciiTheme="minorHAnsi" w:hAnsiTheme="minorHAnsi" w:cstheme="minorHAnsi"/>
          <w:b/>
          <w:color w:val="808000"/>
          <w:sz w:val="22"/>
          <w:szCs w:val="22"/>
        </w:rPr>
        <w:t xml:space="preserve">Statements on </w:t>
      </w:r>
      <w:r w:rsidR="00BF3EB7" w:rsidRPr="00DB0092">
        <w:rPr>
          <w:rFonts w:asciiTheme="minorHAnsi" w:hAnsiTheme="minorHAnsi" w:cstheme="minorHAnsi"/>
          <w:b/>
          <w:color w:val="808000"/>
          <w:sz w:val="22"/>
          <w:szCs w:val="22"/>
        </w:rPr>
        <w:t xml:space="preserve">Breastfeeding </w:t>
      </w:r>
      <w:r w:rsidRPr="00DB0092">
        <w:rPr>
          <w:rFonts w:asciiTheme="minorHAnsi" w:hAnsiTheme="minorHAnsi" w:cstheme="minorHAnsi"/>
          <w:b/>
          <w:color w:val="808000"/>
          <w:sz w:val="22"/>
          <w:szCs w:val="22"/>
        </w:rPr>
        <w:t>Providing Protection f</w:t>
      </w:r>
      <w:r w:rsidR="00BF3EB7" w:rsidRPr="00DB0092">
        <w:rPr>
          <w:rFonts w:asciiTheme="minorHAnsi" w:hAnsiTheme="minorHAnsi" w:cstheme="minorHAnsi"/>
          <w:b/>
          <w:color w:val="808000"/>
          <w:sz w:val="22"/>
          <w:szCs w:val="22"/>
        </w:rPr>
        <w:t>rom Diseases</w:t>
      </w:r>
      <w:r w:rsidR="00FF0C73" w:rsidRPr="00DB0092">
        <w:rPr>
          <w:rFonts w:asciiTheme="minorHAnsi" w:hAnsiTheme="minorHAnsi" w:cstheme="minorHAnsi"/>
          <w:b/>
          <w:color w:val="808000"/>
          <w:sz w:val="22"/>
          <w:szCs w:val="22"/>
        </w:rPr>
        <w:t xml:space="preserve"> (Females only)</w:t>
      </w:r>
    </w:p>
    <w:p w:rsidR="00FF0C73" w:rsidRDefault="00FF0C73"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Opinion on whether breastfeeding provided protection from certain diseases is </w:t>
      </w:r>
      <w:r w:rsidR="00137E3D">
        <w:rPr>
          <w:rFonts w:asciiTheme="minorHAnsi" w:hAnsiTheme="minorHAnsi" w:cstheme="minorHAnsi"/>
          <w:sz w:val="22"/>
          <w:szCs w:val="22"/>
        </w:rPr>
        <w:t>presented</w:t>
      </w:r>
      <w:r>
        <w:rPr>
          <w:rFonts w:asciiTheme="minorHAnsi" w:hAnsiTheme="minorHAnsi" w:cstheme="minorHAnsi"/>
          <w:sz w:val="22"/>
          <w:szCs w:val="22"/>
        </w:rPr>
        <w:t xml:space="preserve"> for females only below</w:t>
      </w:r>
      <w:r w:rsidR="00137E3D">
        <w:rPr>
          <w:rFonts w:asciiTheme="minorHAnsi" w:hAnsiTheme="minorHAnsi" w:cstheme="minorHAnsi"/>
          <w:sz w:val="22"/>
          <w:szCs w:val="22"/>
        </w:rPr>
        <w:t xml:space="preserve"> (although male views are available in tables in Appendix)</w:t>
      </w:r>
      <w:r>
        <w:rPr>
          <w:rFonts w:asciiTheme="minorHAnsi" w:hAnsiTheme="minorHAnsi" w:cstheme="minorHAnsi"/>
          <w:sz w:val="22"/>
          <w:szCs w:val="22"/>
        </w:rPr>
        <w:t xml:space="preserve">.  This was due to </w:t>
      </w:r>
      <w:r w:rsidR="007B78E1">
        <w:rPr>
          <w:rFonts w:asciiTheme="minorHAnsi" w:hAnsiTheme="minorHAnsi" w:cstheme="minorHAnsi"/>
          <w:sz w:val="22"/>
          <w:szCs w:val="22"/>
        </w:rPr>
        <w:t>around two-thirds</w:t>
      </w:r>
      <w:r>
        <w:rPr>
          <w:rFonts w:asciiTheme="minorHAnsi" w:hAnsiTheme="minorHAnsi" w:cstheme="minorHAnsi"/>
          <w:sz w:val="22"/>
          <w:szCs w:val="22"/>
        </w:rPr>
        <w:t xml:space="preserve"> of males stating that they did not know the answer to </w:t>
      </w:r>
      <w:r w:rsidR="007B78E1">
        <w:rPr>
          <w:rFonts w:asciiTheme="minorHAnsi" w:hAnsiTheme="minorHAnsi" w:cstheme="minorHAnsi"/>
          <w:sz w:val="22"/>
          <w:szCs w:val="22"/>
        </w:rPr>
        <w:t>the majority of the</w:t>
      </w:r>
      <w:r>
        <w:rPr>
          <w:rFonts w:asciiTheme="minorHAnsi" w:hAnsiTheme="minorHAnsi" w:cstheme="minorHAnsi"/>
          <w:sz w:val="22"/>
          <w:szCs w:val="22"/>
        </w:rPr>
        <w:t xml:space="preserve"> statements.</w:t>
      </w:r>
      <w:r w:rsidR="007B78E1">
        <w:rPr>
          <w:rFonts w:asciiTheme="minorHAnsi" w:hAnsiTheme="minorHAnsi" w:cstheme="minorHAnsi"/>
          <w:sz w:val="22"/>
          <w:szCs w:val="22"/>
        </w:rPr>
        <w:t xml:space="preserve">  The non-response rate for females for the statements </w:t>
      </w:r>
      <w:r w:rsidR="00137E3D">
        <w:rPr>
          <w:rFonts w:asciiTheme="minorHAnsi" w:hAnsiTheme="minorHAnsi" w:cstheme="minorHAnsi"/>
          <w:sz w:val="22"/>
          <w:szCs w:val="22"/>
        </w:rPr>
        <w:t>varied</w:t>
      </w:r>
      <w:r w:rsidR="007B78E1">
        <w:rPr>
          <w:rFonts w:asciiTheme="minorHAnsi" w:hAnsiTheme="minorHAnsi" w:cstheme="minorHAnsi"/>
          <w:sz w:val="22"/>
          <w:szCs w:val="22"/>
        </w:rPr>
        <w:t xml:space="preserve"> between 29% and 48%.</w:t>
      </w:r>
    </w:p>
    <w:p w:rsidR="00BF3EB7" w:rsidRDefault="00BF3EB7"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 half of </w:t>
      </w:r>
      <w:r w:rsidR="00FF0C73">
        <w:rPr>
          <w:rFonts w:asciiTheme="minorHAnsi" w:hAnsiTheme="minorHAnsi" w:cstheme="minorHAnsi"/>
          <w:sz w:val="22"/>
          <w:szCs w:val="22"/>
        </w:rPr>
        <w:t xml:space="preserve">female </w:t>
      </w:r>
      <w:r>
        <w:rPr>
          <w:rFonts w:asciiTheme="minorHAnsi" w:hAnsiTheme="minorHAnsi" w:cstheme="minorHAnsi"/>
          <w:sz w:val="22"/>
          <w:szCs w:val="22"/>
        </w:rPr>
        <w:t>respondents (5</w:t>
      </w:r>
      <w:r w:rsidR="00FF0C73">
        <w:rPr>
          <w:rFonts w:asciiTheme="minorHAnsi" w:hAnsiTheme="minorHAnsi" w:cstheme="minorHAnsi"/>
          <w:sz w:val="22"/>
          <w:szCs w:val="22"/>
        </w:rPr>
        <w:t>4</w:t>
      </w:r>
      <w:r>
        <w:rPr>
          <w:rFonts w:asciiTheme="minorHAnsi" w:hAnsiTheme="minorHAnsi" w:cstheme="minorHAnsi"/>
          <w:sz w:val="22"/>
          <w:szCs w:val="22"/>
        </w:rPr>
        <w:t>%) agreed with the statement ‘Breastfed babies get fewer ear, chest and kidney infections’</w:t>
      </w:r>
      <w:r w:rsidR="00565D64">
        <w:rPr>
          <w:rFonts w:asciiTheme="minorHAnsi" w:hAnsiTheme="minorHAnsi" w:cstheme="minorHAnsi"/>
          <w:sz w:val="22"/>
          <w:szCs w:val="22"/>
        </w:rPr>
        <w:t xml:space="preserve"> while 1</w:t>
      </w:r>
      <w:r w:rsidR="00FF0C73">
        <w:rPr>
          <w:rFonts w:asciiTheme="minorHAnsi" w:hAnsiTheme="minorHAnsi" w:cstheme="minorHAnsi"/>
          <w:sz w:val="22"/>
          <w:szCs w:val="22"/>
        </w:rPr>
        <w:t>6</w:t>
      </w:r>
      <w:r w:rsidR="00565D64">
        <w:rPr>
          <w:rFonts w:asciiTheme="minorHAnsi" w:hAnsiTheme="minorHAnsi" w:cstheme="minorHAnsi"/>
          <w:sz w:val="22"/>
          <w:szCs w:val="22"/>
        </w:rPr>
        <w:t xml:space="preserve">% disagreed, </w:t>
      </w:r>
      <w:r w:rsidR="00FF0C73">
        <w:rPr>
          <w:rFonts w:asciiTheme="minorHAnsi" w:hAnsiTheme="minorHAnsi" w:cstheme="minorHAnsi"/>
          <w:sz w:val="22"/>
          <w:szCs w:val="22"/>
        </w:rPr>
        <w:t>and 29</w:t>
      </w:r>
      <w:r w:rsidR="00565D64">
        <w:rPr>
          <w:rFonts w:asciiTheme="minorHAnsi" w:hAnsiTheme="minorHAnsi" w:cstheme="minorHAnsi"/>
          <w:sz w:val="22"/>
          <w:szCs w:val="22"/>
        </w:rPr>
        <w:t xml:space="preserve">% said that they did not know.  </w:t>
      </w:r>
    </w:p>
    <w:p w:rsidR="00152CF6" w:rsidRDefault="007B78E1"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w:t>
      </w:r>
      <w:r w:rsidR="00152CF6">
        <w:rPr>
          <w:rFonts w:asciiTheme="minorHAnsi" w:hAnsiTheme="minorHAnsi" w:cstheme="minorHAnsi"/>
          <w:sz w:val="22"/>
          <w:szCs w:val="22"/>
        </w:rPr>
        <w:t xml:space="preserve"> two-fifths (</w:t>
      </w:r>
      <w:r>
        <w:rPr>
          <w:rFonts w:asciiTheme="minorHAnsi" w:hAnsiTheme="minorHAnsi" w:cstheme="minorHAnsi"/>
          <w:sz w:val="22"/>
          <w:szCs w:val="22"/>
        </w:rPr>
        <w:t>43</w:t>
      </w:r>
      <w:r w:rsidR="00152CF6">
        <w:rPr>
          <w:rFonts w:asciiTheme="minorHAnsi" w:hAnsiTheme="minorHAnsi" w:cstheme="minorHAnsi"/>
          <w:sz w:val="22"/>
          <w:szCs w:val="22"/>
        </w:rPr>
        <w:t xml:space="preserve">%) agreed that ‘Breastfeeding helps protect children from severe asthma and eczema’, but </w:t>
      </w:r>
      <w:r>
        <w:rPr>
          <w:rFonts w:asciiTheme="minorHAnsi" w:hAnsiTheme="minorHAnsi" w:cstheme="minorHAnsi"/>
          <w:sz w:val="22"/>
          <w:szCs w:val="22"/>
        </w:rPr>
        <w:t>over a third</w:t>
      </w:r>
      <w:r w:rsidR="00152CF6">
        <w:rPr>
          <w:rFonts w:asciiTheme="minorHAnsi" w:hAnsiTheme="minorHAnsi" w:cstheme="minorHAnsi"/>
          <w:sz w:val="22"/>
          <w:szCs w:val="22"/>
        </w:rPr>
        <w:t xml:space="preserve"> (</w:t>
      </w:r>
      <w:r>
        <w:rPr>
          <w:rFonts w:asciiTheme="minorHAnsi" w:hAnsiTheme="minorHAnsi" w:cstheme="minorHAnsi"/>
          <w:sz w:val="22"/>
          <w:szCs w:val="22"/>
        </w:rPr>
        <w:t>37</w:t>
      </w:r>
      <w:r w:rsidR="00152CF6">
        <w:rPr>
          <w:rFonts w:asciiTheme="minorHAnsi" w:hAnsiTheme="minorHAnsi" w:cstheme="minorHAnsi"/>
          <w:sz w:val="22"/>
          <w:szCs w:val="22"/>
        </w:rPr>
        <w:t>%) said that they did not know.</w:t>
      </w:r>
    </w:p>
    <w:p w:rsidR="00565D64" w:rsidRDefault="00565D64"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w:t>
      </w:r>
      <w:r w:rsidR="007B78E1">
        <w:rPr>
          <w:rFonts w:asciiTheme="minorHAnsi" w:hAnsiTheme="minorHAnsi" w:cstheme="minorHAnsi"/>
          <w:sz w:val="22"/>
          <w:szCs w:val="22"/>
        </w:rPr>
        <w:t>ver o</w:t>
      </w:r>
      <w:r>
        <w:rPr>
          <w:rFonts w:asciiTheme="minorHAnsi" w:hAnsiTheme="minorHAnsi" w:cstheme="minorHAnsi"/>
          <w:sz w:val="22"/>
          <w:szCs w:val="22"/>
        </w:rPr>
        <w:t>ne-third (3</w:t>
      </w:r>
      <w:r w:rsidR="007B78E1">
        <w:rPr>
          <w:rFonts w:asciiTheme="minorHAnsi" w:hAnsiTheme="minorHAnsi" w:cstheme="minorHAnsi"/>
          <w:sz w:val="22"/>
          <w:szCs w:val="22"/>
        </w:rPr>
        <w:t>5</w:t>
      </w:r>
      <w:r>
        <w:rPr>
          <w:rFonts w:asciiTheme="minorHAnsi" w:hAnsiTheme="minorHAnsi" w:cstheme="minorHAnsi"/>
          <w:sz w:val="22"/>
          <w:szCs w:val="22"/>
        </w:rPr>
        <w:t xml:space="preserve">%) agreed with the statement ‘Breastfeeding helps protect children from diabetes’ while </w:t>
      </w:r>
      <w:r w:rsidR="007B78E1">
        <w:rPr>
          <w:rFonts w:asciiTheme="minorHAnsi" w:hAnsiTheme="minorHAnsi" w:cstheme="minorHAnsi"/>
          <w:sz w:val="22"/>
          <w:szCs w:val="22"/>
        </w:rPr>
        <w:t>just und</w:t>
      </w:r>
      <w:r>
        <w:rPr>
          <w:rFonts w:asciiTheme="minorHAnsi" w:hAnsiTheme="minorHAnsi" w:cstheme="minorHAnsi"/>
          <w:sz w:val="22"/>
          <w:szCs w:val="22"/>
        </w:rPr>
        <w:t>er half of respondents (</w:t>
      </w:r>
      <w:r w:rsidR="007B78E1">
        <w:rPr>
          <w:rFonts w:asciiTheme="minorHAnsi" w:hAnsiTheme="minorHAnsi" w:cstheme="minorHAnsi"/>
          <w:sz w:val="22"/>
          <w:szCs w:val="22"/>
        </w:rPr>
        <w:t>48</w:t>
      </w:r>
      <w:r>
        <w:rPr>
          <w:rFonts w:asciiTheme="minorHAnsi" w:hAnsiTheme="minorHAnsi" w:cstheme="minorHAnsi"/>
          <w:sz w:val="22"/>
          <w:szCs w:val="22"/>
        </w:rPr>
        <w:t xml:space="preserve">%) said that they did not know.  </w:t>
      </w:r>
      <w:r w:rsidR="001B62AB">
        <w:rPr>
          <w:rFonts w:asciiTheme="minorHAnsi" w:hAnsiTheme="minorHAnsi" w:cstheme="minorHAnsi"/>
          <w:sz w:val="22"/>
          <w:szCs w:val="22"/>
        </w:rPr>
        <w:t>Similar r</w:t>
      </w:r>
      <w:r w:rsidR="00152CF6">
        <w:rPr>
          <w:rFonts w:asciiTheme="minorHAnsi" w:hAnsiTheme="minorHAnsi" w:cstheme="minorHAnsi"/>
          <w:sz w:val="22"/>
          <w:szCs w:val="22"/>
        </w:rPr>
        <w:t xml:space="preserve">esults were </w:t>
      </w:r>
      <w:r w:rsidR="001B62AB">
        <w:rPr>
          <w:rFonts w:asciiTheme="minorHAnsi" w:hAnsiTheme="minorHAnsi" w:cstheme="minorHAnsi"/>
          <w:sz w:val="22"/>
          <w:szCs w:val="22"/>
        </w:rPr>
        <w:t xml:space="preserve">seen </w:t>
      </w:r>
      <w:r w:rsidR="00152CF6">
        <w:rPr>
          <w:rFonts w:asciiTheme="minorHAnsi" w:hAnsiTheme="minorHAnsi" w:cstheme="minorHAnsi"/>
          <w:sz w:val="22"/>
          <w:szCs w:val="22"/>
        </w:rPr>
        <w:t>for the statement ‘Breastfeeding reduces the risk of breast cancer in women’.</w:t>
      </w:r>
    </w:p>
    <w:p w:rsidR="00FF0C73" w:rsidRDefault="00FF0C73" w:rsidP="00BF3EB7">
      <w:pPr>
        <w:tabs>
          <w:tab w:val="left" w:pos="-180"/>
        </w:tabs>
        <w:suppressAutoHyphens/>
        <w:spacing w:after="60"/>
        <w:rPr>
          <w:rFonts w:asciiTheme="minorHAnsi" w:hAnsiTheme="minorHAnsi" w:cstheme="minorHAnsi"/>
          <w:sz w:val="22"/>
          <w:szCs w:val="22"/>
        </w:rPr>
      </w:pPr>
      <w:r w:rsidRPr="00FF0C73">
        <w:rPr>
          <w:rFonts w:asciiTheme="minorHAnsi" w:hAnsiTheme="minorHAnsi" w:cstheme="minorHAnsi"/>
          <w:noProof/>
          <w:sz w:val="22"/>
          <w:szCs w:val="22"/>
          <w:lang w:val="en-IE" w:eastAsia="en-IE"/>
        </w:rPr>
        <w:lastRenderedPageBreak/>
        <w:drawing>
          <wp:inline distT="0" distB="0" distL="0" distR="0">
            <wp:extent cx="4391025" cy="2628000"/>
            <wp:effectExtent l="0" t="0" r="0" b="0"/>
            <wp:docPr id="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2CF6" w:rsidRDefault="001B62AB" w:rsidP="00F36997">
      <w:pPr>
        <w:tabs>
          <w:tab w:val="left" w:pos="-180"/>
        </w:tabs>
        <w:suppressAutoHyphens/>
        <w:spacing w:before="240" w:after="240" w:line="288" w:lineRule="auto"/>
        <w:rPr>
          <w:rFonts w:asciiTheme="minorHAnsi" w:hAnsiTheme="minorHAnsi" w:cstheme="minorHAnsi"/>
          <w:sz w:val="22"/>
          <w:szCs w:val="22"/>
        </w:rPr>
      </w:pPr>
      <w:r>
        <w:rPr>
          <w:rFonts w:asciiTheme="minorHAnsi" w:hAnsiTheme="minorHAnsi" w:cstheme="minorHAnsi"/>
          <w:sz w:val="22"/>
          <w:szCs w:val="22"/>
        </w:rPr>
        <w:t>Over two-fifths</w:t>
      </w:r>
      <w:r w:rsidR="00152CF6">
        <w:rPr>
          <w:rFonts w:asciiTheme="minorHAnsi" w:hAnsiTheme="minorHAnsi" w:cstheme="minorHAnsi"/>
          <w:sz w:val="22"/>
          <w:szCs w:val="22"/>
        </w:rPr>
        <w:t xml:space="preserve"> of </w:t>
      </w:r>
      <w:r>
        <w:rPr>
          <w:rFonts w:asciiTheme="minorHAnsi" w:hAnsiTheme="minorHAnsi" w:cstheme="minorHAnsi"/>
          <w:sz w:val="22"/>
          <w:szCs w:val="22"/>
        </w:rPr>
        <w:t>female</w:t>
      </w:r>
      <w:r w:rsidR="00152CF6">
        <w:rPr>
          <w:rFonts w:asciiTheme="minorHAnsi" w:hAnsiTheme="minorHAnsi" w:cstheme="minorHAnsi"/>
          <w:sz w:val="22"/>
          <w:szCs w:val="22"/>
        </w:rPr>
        <w:t>s (</w:t>
      </w:r>
      <w:r>
        <w:rPr>
          <w:rFonts w:asciiTheme="minorHAnsi" w:hAnsiTheme="minorHAnsi" w:cstheme="minorHAnsi"/>
          <w:sz w:val="22"/>
          <w:szCs w:val="22"/>
        </w:rPr>
        <w:t>42</w:t>
      </w:r>
      <w:r w:rsidR="00152CF6">
        <w:rPr>
          <w:rFonts w:asciiTheme="minorHAnsi" w:hAnsiTheme="minorHAnsi" w:cstheme="minorHAnsi"/>
          <w:sz w:val="22"/>
          <w:szCs w:val="22"/>
        </w:rPr>
        <w:t>%) disagreed with</w:t>
      </w:r>
      <w:r>
        <w:rPr>
          <w:rFonts w:asciiTheme="minorHAnsi" w:hAnsiTheme="minorHAnsi" w:cstheme="minorHAnsi"/>
          <w:sz w:val="22"/>
          <w:szCs w:val="22"/>
        </w:rPr>
        <w:t xml:space="preserve"> both </w:t>
      </w:r>
      <w:r w:rsidR="00152CF6">
        <w:rPr>
          <w:rFonts w:asciiTheme="minorHAnsi" w:hAnsiTheme="minorHAnsi" w:cstheme="minorHAnsi"/>
          <w:sz w:val="22"/>
          <w:szCs w:val="22"/>
        </w:rPr>
        <w:t>the statement</w:t>
      </w:r>
      <w:r>
        <w:rPr>
          <w:rFonts w:asciiTheme="minorHAnsi" w:hAnsiTheme="minorHAnsi" w:cstheme="minorHAnsi"/>
          <w:sz w:val="22"/>
          <w:szCs w:val="22"/>
        </w:rPr>
        <w:t>s</w:t>
      </w:r>
      <w:r w:rsidR="00152CF6">
        <w:rPr>
          <w:rFonts w:asciiTheme="minorHAnsi" w:hAnsiTheme="minorHAnsi" w:cstheme="minorHAnsi"/>
          <w:sz w:val="22"/>
          <w:szCs w:val="22"/>
        </w:rPr>
        <w:t xml:space="preserve"> ‘Bottle-fed babies are more likely to be admitted to hospit</w:t>
      </w:r>
      <w:r>
        <w:rPr>
          <w:rFonts w:asciiTheme="minorHAnsi" w:hAnsiTheme="minorHAnsi" w:cstheme="minorHAnsi"/>
          <w:sz w:val="22"/>
          <w:szCs w:val="22"/>
        </w:rPr>
        <w:t>al with diarrhoea and vomiting’</w:t>
      </w:r>
      <w:r w:rsidR="00152CF6">
        <w:rPr>
          <w:rFonts w:asciiTheme="minorHAnsi" w:hAnsiTheme="minorHAnsi" w:cstheme="minorHAnsi"/>
          <w:sz w:val="22"/>
          <w:szCs w:val="22"/>
        </w:rPr>
        <w:t xml:space="preserve"> </w:t>
      </w:r>
      <w:r>
        <w:rPr>
          <w:rFonts w:asciiTheme="minorHAnsi" w:hAnsiTheme="minorHAnsi" w:cstheme="minorHAnsi"/>
          <w:sz w:val="22"/>
          <w:szCs w:val="22"/>
        </w:rPr>
        <w:t xml:space="preserve">and </w:t>
      </w:r>
      <w:r w:rsidR="00C3405E">
        <w:rPr>
          <w:rFonts w:asciiTheme="minorHAnsi" w:hAnsiTheme="minorHAnsi" w:cstheme="minorHAnsi"/>
          <w:sz w:val="22"/>
          <w:szCs w:val="22"/>
        </w:rPr>
        <w:t xml:space="preserve"> ‘Bottle-fed babies are at increased risk of s</w:t>
      </w:r>
      <w:r w:rsidR="0074247A">
        <w:rPr>
          <w:rFonts w:asciiTheme="minorHAnsi" w:hAnsiTheme="minorHAnsi" w:cstheme="minorHAnsi"/>
          <w:sz w:val="22"/>
          <w:szCs w:val="22"/>
        </w:rPr>
        <w:t>udden infant death (cot-death)’</w:t>
      </w:r>
      <w:r w:rsidR="00C3405E">
        <w:rPr>
          <w:rFonts w:asciiTheme="minorHAnsi" w:hAnsiTheme="minorHAnsi" w:cstheme="minorHAnsi"/>
          <w:sz w:val="22"/>
          <w:szCs w:val="22"/>
        </w:rPr>
        <w:t>.</w:t>
      </w:r>
      <w:r w:rsidR="00DF6A66" w:rsidRPr="00DF6A66">
        <w:rPr>
          <w:rFonts w:asciiTheme="minorHAnsi" w:hAnsiTheme="minorHAnsi" w:cstheme="minorHAnsi"/>
          <w:sz w:val="22"/>
          <w:szCs w:val="22"/>
        </w:rPr>
        <w:t xml:space="preserve"> </w:t>
      </w:r>
    </w:p>
    <w:p w:rsidR="00FF0C73" w:rsidRDefault="00FF0C73" w:rsidP="00BF3EB7">
      <w:pPr>
        <w:tabs>
          <w:tab w:val="left" w:pos="-180"/>
        </w:tabs>
        <w:suppressAutoHyphens/>
        <w:spacing w:after="60"/>
        <w:rPr>
          <w:rFonts w:asciiTheme="minorHAnsi" w:hAnsiTheme="minorHAnsi" w:cstheme="minorHAnsi"/>
          <w:sz w:val="22"/>
          <w:szCs w:val="22"/>
        </w:rPr>
      </w:pPr>
      <w:r w:rsidRPr="00FF0C73">
        <w:rPr>
          <w:rFonts w:asciiTheme="minorHAnsi" w:hAnsiTheme="minorHAnsi" w:cstheme="minorHAnsi"/>
          <w:noProof/>
          <w:sz w:val="22"/>
          <w:szCs w:val="22"/>
          <w:lang w:val="en-IE" w:eastAsia="en-IE"/>
        </w:rPr>
        <w:drawing>
          <wp:inline distT="0" distB="0" distL="0" distR="0">
            <wp:extent cx="4391025" cy="2592000"/>
            <wp:effectExtent l="19050" t="0" r="0" b="0"/>
            <wp:docPr id="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3405E" w:rsidRPr="00DB0092" w:rsidRDefault="00C54BE1" w:rsidP="003D5CC0">
      <w:pPr>
        <w:tabs>
          <w:tab w:val="left" w:pos="-180"/>
        </w:tabs>
        <w:suppressAutoHyphens/>
        <w:spacing w:before="120" w:after="120"/>
        <w:rPr>
          <w:rFonts w:asciiTheme="minorHAnsi" w:hAnsiTheme="minorHAnsi" w:cstheme="minorHAnsi"/>
          <w:color w:val="808000"/>
          <w:sz w:val="22"/>
          <w:szCs w:val="22"/>
        </w:rPr>
      </w:pPr>
      <w:r w:rsidRPr="00DB0092">
        <w:rPr>
          <w:rFonts w:asciiTheme="minorHAnsi" w:hAnsiTheme="minorHAnsi" w:cstheme="minorHAnsi"/>
          <w:b/>
          <w:color w:val="808000"/>
          <w:sz w:val="22"/>
          <w:szCs w:val="22"/>
        </w:rPr>
        <w:lastRenderedPageBreak/>
        <w:t>Opinion on Breastfeeding</w:t>
      </w:r>
    </w:p>
    <w:p w:rsidR="00C54BE1" w:rsidRDefault="00C54BE1"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majority of respondents agreed that breastfeeding is normal (89%) and that breastfeeding is good for baby (85%).  Four-fifths disagreed that breastfeeding is distasteful (83%) and breastfeeding is offensive (82%).  </w:t>
      </w:r>
      <w:r w:rsidR="0074247A">
        <w:rPr>
          <w:rFonts w:asciiTheme="minorHAnsi" w:hAnsiTheme="minorHAnsi" w:cstheme="minorHAnsi"/>
          <w:sz w:val="22"/>
          <w:szCs w:val="22"/>
        </w:rPr>
        <w:t xml:space="preserve">Three-fifths disagreed </w:t>
      </w:r>
      <w:r>
        <w:rPr>
          <w:rFonts w:asciiTheme="minorHAnsi" w:hAnsiTheme="minorHAnsi" w:cstheme="minorHAnsi"/>
          <w:sz w:val="22"/>
          <w:szCs w:val="22"/>
        </w:rPr>
        <w:t>that breastfeeding is embarrassing</w:t>
      </w:r>
      <w:r w:rsidR="0074247A">
        <w:rPr>
          <w:rFonts w:asciiTheme="minorHAnsi" w:hAnsiTheme="minorHAnsi" w:cstheme="minorHAnsi"/>
          <w:sz w:val="22"/>
          <w:szCs w:val="22"/>
        </w:rPr>
        <w:t xml:space="preserve"> (59%),</w:t>
      </w:r>
      <w:r>
        <w:rPr>
          <w:rFonts w:asciiTheme="minorHAnsi" w:hAnsiTheme="minorHAnsi" w:cstheme="minorHAnsi"/>
          <w:sz w:val="22"/>
          <w:szCs w:val="22"/>
        </w:rPr>
        <w:t xml:space="preserve"> while</w:t>
      </w:r>
      <w:r w:rsidR="0074247A" w:rsidRPr="0074247A">
        <w:rPr>
          <w:rFonts w:asciiTheme="minorHAnsi" w:hAnsiTheme="minorHAnsi" w:cstheme="minorHAnsi"/>
          <w:sz w:val="22"/>
          <w:szCs w:val="22"/>
        </w:rPr>
        <w:t xml:space="preserve"> </w:t>
      </w:r>
      <w:r w:rsidR="0074247A">
        <w:rPr>
          <w:rFonts w:asciiTheme="minorHAnsi" w:hAnsiTheme="minorHAnsi" w:cstheme="minorHAnsi"/>
          <w:sz w:val="22"/>
          <w:szCs w:val="22"/>
        </w:rPr>
        <w:t>one-fifth (17%) agreed.</w:t>
      </w:r>
    </w:p>
    <w:p w:rsidR="000A2BF0" w:rsidRDefault="000A2BF0" w:rsidP="00BF3EB7">
      <w:pPr>
        <w:tabs>
          <w:tab w:val="left" w:pos="-180"/>
        </w:tabs>
        <w:suppressAutoHyphens/>
        <w:spacing w:after="60"/>
        <w:rPr>
          <w:rFonts w:asciiTheme="minorHAnsi" w:hAnsiTheme="minorHAnsi" w:cstheme="minorHAnsi"/>
          <w:sz w:val="22"/>
          <w:szCs w:val="22"/>
        </w:rPr>
      </w:pPr>
      <w:r w:rsidRPr="000A2BF0">
        <w:rPr>
          <w:rFonts w:asciiTheme="minorHAnsi" w:hAnsiTheme="minorHAnsi" w:cstheme="minorHAnsi"/>
          <w:noProof/>
          <w:sz w:val="22"/>
          <w:szCs w:val="22"/>
          <w:lang w:val="en-IE" w:eastAsia="en-IE"/>
        </w:rPr>
        <w:drawing>
          <wp:inline distT="0" distB="0" distL="0" distR="0">
            <wp:extent cx="4391025" cy="2880000"/>
            <wp:effectExtent l="1905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C632C" w:rsidRPr="00DB0092" w:rsidRDefault="006C632C" w:rsidP="003D5CC0">
      <w:pPr>
        <w:tabs>
          <w:tab w:val="left" w:pos="-180"/>
        </w:tabs>
        <w:suppressAutoHyphens/>
        <w:spacing w:before="360" w:after="120"/>
        <w:rPr>
          <w:rFonts w:asciiTheme="minorHAnsi" w:hAnsiTheme="minorHAnsi" w:cstheme="minorHAnsi"/>
          <w:color w:val="808000"/>
          <w:sz w:val="22"/>
          <w:szCs w:val="22"/>
        </w:rPr>
      </w:pPr>
      <w:r w:rsidRPr="00DB0092">
        <w:rPr>
          <w:rFonts w:asciiTheme="minorHAnsi" w:hAnsiTheme="minorHAnsi" w:cstheme="minorHAnsi"/>
          <w:b/>
          <w:color w:val="808000"/>
          <w:sz w:val="22"/>
          <w:szCs w:val="22"/>
        </w:rPr>
        <w:t>Opinion on Breastfeeding in Public</w:t>
      </w:r>
    </w:p>
    <w:p w:rsidR="000A2BF0" w:rsidRDefault="006C632C"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Three-quarters of respondents </w:t>
      </w:r>
      <w:r w:rsidR="00320F0F">
        <w:rPr>
          <w:rFonts w:asciiTheme="minorHAnsi" w:hAnsiTheme="minorHAnsi" w:cstheme="minorHAnsi"/>
          <w:sz w:val="22"/>
          <w:szCs w:val="22"/>
        </w:rPr>
        <w:t xml:space="preserve">(74%) </w:t>
      </w:r>
      <w:r>
        <w:rPr>
          <w:rFonts w:asciiTheme="minorHAnsi" w:hAnsiTheme="minorHAnsi" w:cstheme="minorHAnsi"/>
          <w:sz w:val="22"/>
          <w:szCs w:val="22"/>
        </w:rPr>
        <w:t xml:space="preserve">agreed that </w:t>
      </w:r>
      <w:r w:rsidR="00320F0F">
        <w:rPr>
          <w:rFonts w:asciiTheme="minorHAnsi" w:hAnsiTheme="minorHAnsi" w:cstheme="minorHAnsi"/>
          <w:sz w:val="22"/>
          <w:szCs w:val="22"/>
        </w:rPr>
        <w:t>w</w:t>
      </w:r>
      <w:r>
        <w:rPr>
          <w:rFonts w:asciiTheme="minorHAnsi" w:hAnsiTheme="minorHAnsi" w:cstheme="minorHAnsi"/>
          <w:sz w:val="22"/>
          <w:szCs w:val="22"/>
        </w:rPr>
        <w:t>omen should be made feel comfortable breastfeeding their babies in public</w:t>
      </w:r>
      <w:r w:rsidR="00320F0F">
        <w:rPr>
          <w:rFonts w:asciiTheme="minorHAnsi" w:hAnsiTheme="minorHAnsi" w:cstheme="minorHAnsi"/>
          <w:sz w:val="22"/>
          <w:szCs w:val="22"/>
        </w:rPr>
        <w:t xml:space="preserve">.  Two-thirds </w:t>
      </w:r>
      <w:r w:rsidR="00137E3D">
        <w:rPr>
          <w:rFonts w:asciiTheme="minorHAnsi" w:hAnsiTheme="minorHAnsi" w:cstheme="minorHAnsi"/>
          <w:sz w:val="22"/>
          <w:szCs w:val="22"/>
        </w:rPr>
        <w:t xml:space="preserve">of respondents </w:t>
      </w:r>
      <w:r w:rsidR="00320F0F">
        <w:rPr>
          <w:rFonts w:asciiTheme="minorHAnsi" w:hAnsiTheme="minorHAnsi" w:cstheme="minorHAnsi"/>
          <w:sz w:val="22"/>
          <w:szCs w:val="22"/>
        </w:rPr>
        <w:t>(66%) disagreed that women should only breastfeed their babies at home or in private.  Three-fifths (62%) agreed that there should be a law in Northern Ireland to protect women who want to breastfeed in public.</w:t>
      </w:r>
    </w:p>
    <w:p w:rsidR="003D5CC0" w:rsidRDefault="003D5CC0" w:rsidP="003D5CC0">
      <w:pPr>
        <w:tabs>
          <w:tab w:val="left" w:pos="-180"/>
        </w:tabs>
        <w:suppressAutoHyphens/>
        <w:spacing w:before="240" w:after="120"/>
        <w:rPr>
          <w:rFonts w:asciiTheme="minorHAnsi" w:hAnsiTheme="minorHAnsi" w:cstheme="minorHAnsi"/>
          <w:b/>
          <w:color w:val="4F81BD" w:themeColor="accent1"/>
          <w:sz w:val="22"/>
          <w:szCs w:val="22"/>
        </w:rPr>
      </w:pPr>
    </w:p>
    <w:p w:rsidR="00E643A5" w:rsidRPr="00DB0092" w:rsidRDefault="00E643A5" w:rsidP="003D5CC0">
      <w:pPr>
        <w:tabs>
          <w:tab w:val="left" w:pos="-180"/>
        </w:tabs>
        <w:suppressAutoHyphens/>
        <w:spacing w:before="240" w:after="120"/>
        <w:rPr>
          <w:rFonts w:asciiTheme="minorHAnsi" w:hAnsiTheme="minorHAnsi" w:cstheme="minorHAnsi"/>
          <w:b/>
          <w:color w:val="808000"/>
          <w:sz w:val="22"/>
          <w:szCs w:val="22"/>
        </w:rPr>
      </w:pPr>
      <w:r w:rsidRPr="00DB0092">
        <w:rPr>
          <w:rFonts w:asciiTheme="minorHAnsi" w:hAnsiTheme="minorHAnsi" w:cstheme="minorHAnsi"/>
          <w:b/>
          <w:color w:val="808000"/>
          <w:sz w:val="22"/>
          <w:szCs w:val="22"/>
        </w:rPr>
        <w:lastRenderedPageBreak/>
        <w:t>Proportion of Mothers who Breastfed their Babies</w:t>
      </w:r>
    </w:p>
    <w:p w:rsidR="00E643A5" w:rsidRDefault="00137E3D"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w:t>
      </w:r>
      <w:r w:rsidR="00E643A5">
        <w:rPr>
          <w:rFonts w:asciiTheme="minorHAnsi" w:hAnsiTheme="minorHAnsi" w:cstheme="minorHAnsi"/>
          <w:sz w:val="22"/>
          <w:szCs w:val="22"/>
        </w:rPr>
        <w:t>lmost three-fifths of mothers (56%) breastfed at least one of their babies.  Overall</w:t>
      </w:r>
      <w:r w:rsidR="005961C7">
        <w:rPr>
          <w:rFonts w:asciiTheme="minorHAnsi" w:hAnsiTheme="minorHAnsi" w:cstheme="minorHAnsi"/>
          <w:sz w:val="22"/>
          <w:szCs w:val="22"/>
        </w:rPr>
        <w:t xml:space="preserve"> 17% of all mothers breastfed their babies for over six months, while a further 13% breastfed for between three and six months.</w:t>
      </w:r>
    </w:p>
    <w:p w:rsidR="000777BA" w:rsidRDefault="000777BA" w:rsidP="003D5CC0">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 xml:space="preserve">Over three-fifths of mothers living in rural areas (63%) breastfed their babies </w:t>
      </w:r>
      <w:r w:rsidR="005E3F12">
        <w:rPr>
          <w:rFonts w:asciiTheme="minorHAnsi" w:hAnsiTheme="minorHAnsi" w:cstheme="minorHAnsi"/>
          <w:sz w:val="22"/>
          <w:szCs w:val="22"/>
        </w:rPr>
        <w:t xml:space="preserve">compared with </w:t>
      </w:r>
      <w:r w:rsidR="00105049">
        <w:rPr>
          <w:rFonts w:asciiTheme="minorHAnsi" w:hAnsiTheme="minorHAnsi" w:cstheme="minorHAnsi"/>
          <w:sz w:val="22"/>
          <w:szCs w:val="22"/>
        </w:rPr>
        <w:t xml:space="preserve">just </w:t>
      </w:r>
      <w:r w:rsidR="005E3F12">
        <w:rPr>
          <w:rFonts w:asciiTheme="minorHAnsi" w:hAnsiTheme="minorHAnsi" w:cstheme="minorHAnsi"/>
          <w:sz w:val="22"/>
          <w:szCs w:val="22"/>
        </w:rPr>
        <w:t>over half of</w:t>
      </w:r>
      <w:r>
        <w:rPr>
          <w:rFonts w:asciiTheme="minorHAnsi" w:hAnsiTheme="minorHAnsi" w:cstheme="minorHAnsi"/>
          <w:sz w:val="22"/>
          <w:szCs w:val="22"/>
        </w:rPr>
        <w:t xml:space="preserve"> mothers in urban areas (52%).</w:t>
      </w:r>
      <w:r w:rsidR="005E3F12">
        <w:rPr>
          <w:rFonts w:asciiTheme="minorHAnsi" w:hAnsiTheme="minorHAnsi" w:cstheme="minorHAnsi"/>
          <w:sz w:val="22"/>
          <w:szCs w:val="22"/>
        </w:rPr>
        <w:t xml:space="preserve">   Mothers living in rural areas </w:t>
      </w:r>
      <w:r w:rsidR="00105049">
        <w:rPr>
          <w:rFonts w:asciiTheme="minorHAnsi" w:hAnsiTheme="minorHAnsi" w:cstheme="minorHAnsi"/>
          <w:sz w:val="22"/>
          <w:szCs w:val="22"/>
        </w:rPr>
        <w:t xml:space="preserve">(21%) </w:t>
      </w:r>
      <w:r w:rsidR="005E3F12">
        <w:rPr>
          <w:rFonts w:asciiTheme="minorHAnsi" w:hAnsiTheme="minorHAnsi" w:cstheme="minorHAnsi"/>
          <w:sz w:val="22"/>
          <w:szCs w:val="22"/>
        </w:rPr>
        <w:t xml:space="preserve">were also more likely to breastfeed their baby for six months or more </w:t>
      </w:r>
      <w:r w:rsidR="00105049">
        <w:rPr>
          <w:rFonts w:asciiTheme="minorHAnsi" w:hAnsiTheme="minorHAnsi" w:cstheme="minorHAnsi"/>
          <w:sz w:val="22"/>
          <w:szCs w:val="22"/>
        </w:rPr>
        <w:t>than</w:t>
      </w:r>
      <w:r w:rsidR="00FC11B4">
        <w:rPr>
          <w:rFonts w:asciiTheme="minorHAnsi" w:hAnsiTheme="minorHAnsi" w:cstheme="minorHAnsi"/>
          <w:sz w:val="22"/>
          <w:szCs w:val="22"/>
        </w:rPr>
        <w:t xml:space="preserve"> those</w:t>
      </w:r>
      <w:r w:rsidR="005E3F12">
        <w:rPr>
          <w:rFonts w:asciiTheme="minorHAnsi" w:hAnsiTheme="minorHAnsi" w:cstheme="minorHAnsi"/>
          <w:sz w:val="22"/>
          <w:szCs w:val="22"/>
        </w:rPr>
        <w:t xml:space="preserve"> in urban areas</w:t>
      </w:r>
      <w:r w:rsidR="00105049">
        <w:rPr>
          <w:rFonts w:asciiTheme="minorHAnsi" w:hAnsiTheme="minorHAnsi" w:cstheme="minorHAnsi"/>
          <w:sz w:val="22"/>
          <w:szCs w:val="22"/>
        </w:rPr>
        <w:t xml:space="preserve"> (14%</w:t>
      </w:r>
      <w:r w:rsidR="005E3F12">
        <w:rPr>
          <w:rFonts w:asciiTheme="minorHAnsi" w:hAnsiTheme="minorHAnsi" w:cstheme="minorHAnsi"/>
          <w:sz w:val="22"/>
          <w:szCs w:val="22"/>
        </w:rPr>
        <w:t>).</w:t>
      </w:r>
    </w:p>
    <w:p w:rsidR="000777BA" w:rsidRDefault="000777BA" w:rsidP="00BF3EB7">
      <w:pPr>
        <w:tabs>
          <w:tab w:val="left" w:pos="-180"/>
        </w:tabs>
        <w:suppressAutoHyphens/>
        <w:spacing w:after="60"/>
        <w:rPr>
          <w:rFonts w:asciiTheme="minorHAnsi" w:hAnsiTheme="minorHAnsi" w:cstheme="minorHAnsi"/>
          <w:sz w:val="22"/>
          <w:szCs w:val="22"/>
        </w:rPr>
      </w:pPr>
      <w:r w:rsidRPr="000777BA">
        <w:rPr>
          <w:rFonts w:asciiTheme="minorHAnsi" w:hAnsiTheme="minorHAnsi" w:cstheme="minorHAnsi"/>
          <w:noProof/>
          <w:sz w:val="22"/>
          <w:szCs w:val="22"/>
          <w:lang w:val="en-IE" w:eastAsia="en-IE"/>
        </w:rPr>
        <w:drawing>
          <wp:inline distT="0" distB="0" distL="0" distR="0">
            <wp:extent cx="4324350" cy="2700000"/>
            <wp:effectExtent l="19050" t="0" r="0" b="0"/>
            <wp:docPr id="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777BA" w:rsidRDefault="005E3F12" w:rsidP="003D5CC0">
      <w:pPr>
        <w:tabs>
          <w:tab w:val="left" w:pos="-180"/>
        </w:tabs>
        <w:suppressAutoHyphens/>
        <w:spacing w:before="360" w:after="120" w:line="288" w:lineRule="auto"/>
        <w:rPr>
          <w:rFonts w:asciiTheme="minorHAnsi" w:hAnsiTheme="minorHAnsi" w:cstheme="minorHAnsi"/>
          <w:sz w:val="22"/>
          <w:szCs w:val="22"/>
        </w:rPr>
      </w:pPr>
      <w:r>
        <w:rPr>
          <w:rFonts w:asciiTheme="minorHAnsi" w:hAnsiTheme="minorHAnsi" w:cstheme="minorHAnsi"/>
          <w:sz w:val="22"/>
          <w:szCs w:val="22"/>
        </w:rPr>
        <w:t xml:space="preserve">Less than two-fifths of mothers in the most deprived areas (37%) breastfed their baby compared with almost two-thirds of mothers in the least deprived areas (64%).  </w:t>
      </w:r>
      <w:r w:rsidR="00105049">
        <w:rPr>
          <w:rFonts w:asciiTheme="minorHAnsi" w:hAnsiTheme="minorHAnsi" w:cstheme="minorHAnsi"/>
          <w:sz w:val="22"/>
          <w:szCs w:val="22"/>
        </w:rPr>
        <w:t>The proportion of mothers</w:t>
      </w:r>
      <w:r w:rsidR="00105049" w:rsidRPr="00105049">
        <w:rPr>
          <w:rFonts w:asciiTheme="minorHAnsi" w:hAnsiTheme="minorHAnsi" w:cstheme="minorHAnsi"/>
          <w:sz w:val="22"/>
          <w:szCs w:val="22"/>
        </w:rPr>
        <w:t xml:space="preserve"> </w:t>
      </w:r>
      <w:r w:rsidR="00105049">
        <w:rPr>
          <w:rFonts w:asciiTheme="minorHAnsi" w:hAnsiTheme="minorHAnsi" w:cstheme="minorHAnsi"/>
          <w:sz w:val="22"/>
          <w:szCs w:val="22"/>
        </w:rPr>
        <w:t>in the least deprived areas that breastfed their baby for six months or more (19%) was more than twice that in the most deprived areas (</w:t>
      </w:r>
      <w:r>
        <w:rPr>
          <w:rFonts w:asciiTheme="minorHAnsi" w:hAnsiTheme="minorHAnsi" w:cstheme="minorHAnsi"/>
          <w:sz w:val="22"/>
          <w:szCs w:val="22"/>
        </w:rPr>
        <w:t>9%</w:t>
      </w:r>
      <w:r w:rsidR="00105049">
        <w:rPr>
          <w:rFonts w:asciiTheme="minorHAnsi" w:hAnsiTheme="minorHAnsi" w:cstheme="minorHAnsi"/>
          <w:sz w:val="22"/>
          <w:szCs w:val="22"/>
        </w:rPr>
        <w:t>)</w:t>
      </w:r>
      <w:r w:rsidR="00D956BA">
        <w:rPr>
          <w:rFonts w:asciiTheme="minorHAnsi" w:hAnsiTheme="minorHAnsi" w:cstheme="minorHAnsi"/>
          <w:sz w:val="22"/>
          <w:szCs w:val="22"/>
        </w:rPr>
        <w:t>.</w:t>
      </w:r>
    </w:p>
    <w:p w:rsidR="00BF3EB7" w:rsidRDefault="000777BA" w:rsidP="00BF3EB7">
      <w:pPr>
        <w:tabs>
          <w:tab w:val="left" w:pos="-180"/>
        </w:tabs>
        <w:suppressAutoHyphens/>
        <w:spacing w:after="60"/>
        <w:rPr>
          <w:rFonts w:asciiTheme="minorHAnsi" w:hAnsiTheme="minorHAnsi" w:cstheme="minorHAnsi"/>
          <w:sz w:val="22"/>
          <w:szCs w:val="22"/>
        </w:rPr>
      </w:pPr>
      <w:r w:rsidRPr="000777BA">
        <w:rPr>
          <w:rFonts w:asciiTheme="minorHAnsi" w:hAnsiTheme="minorHAnsi" w:cstheme="minorHAnsi"/>
          <w:noProof/>
          <w:sz w:val="22"/>
          <w:szCs w:val="22"/>
          <w:lang w:val="en-IE" w:eastAsia="en-IE"/>
        </w:rPr>
        <w:lastRenderedPageBreak/>
        <w:drawing>
          <wp:inline distT="0" distB="0" distL="0" distR="0">
            <wp:extent cx="4324350" cy="2700000"/>
            <wp:effectExtent l="19050" t="0" r="0" b="0"/>
            <wp:docPr id="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777BA" w:rsidRDefault="00D956BA" w:rsidP="003D5CC0">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Youn</w:t>
      </w:r>
      <w:r w:rsidR="00105049">
        <w:rPr>
          <w:rFonts w:asciiTheme="minorHAnsi" w:hAnsiTheme="minorHAnsi" w:cstheme="minorHAnsi"/>
          <w:sz w:val="22"/>
          <w:szCs w:val="22"/>
        </w:rPr>
        <w:t>ger mothers</w:t>
      </w:r>
      <w:r>
        <w:rPr>
          <w:rFonts w:asciiTheme="minorHAnsi" w:hAnsiTheme="minorHAnsi" w:cstheme="minorHAnsi"/>
          <w:sz w:val="22"/>
          <w:szCs w:val="22"/>
        </w:rPr>
        <w:t xml:space="preserve"> aged 16-24</w:t>
      </w:r>
      <w:r w:rsidR="00105049">
        <w:rPr>
          <w:rFonts w:asciiTheme="minorHAnsi" w:hAnsiTheme="minorHAnsi" w:cstheme="minorHAnsi"/>
          <w:sz w:val="22"/>
          <w:szCs w:val="22"/>
        </w:rPr>
        <w:t xml:space="preserve"> </w:t>
      </w:r>
      <w:r>
        <w:rPr>
          <w:rFonts w:asciiTheme="minorHAnsi" w:hAnsiTheme="minorHAnsi" w:cstheme="minorHAnsi"/>
          <w:sz w:val="22"/>
          <w:szCs w:val="22"/>
        </w:rPr>
        <w:t xml:space="preserve">were less likely to have breastfed </w:t>
      </w:r>
      <w:r w:rsidR="00105049">
        <w:rPr>
          <w:rFonts w:asciiTheme="minorHAnsi" w:hAnsiTheme="minorHAnsi" w:cstheme="minorHAnsi"/>
          <w:sz w:val="22"/>
          <w:szCs w:val="22"/>
        </w:rPr>
        <w:t xml:space="preserve">(46%) </w:t>
      </w:r>
      <w:r>
        <w:rPr>
          <w:rFonts w:asciiTheme="minorHAnsi" w:hAnsiTheme="minorHAnsi" w:cstheme="minorHAnsi"/>
          <w:sz w:val="22"/>
          <w:szCs w:val="22"/>
        </w:rPr>
        <w:t xml:space="preserve">than older mothers </w:t>
      </w:r>
      <w:r w:rsidR="00105049">
        <w:rPr>
          <w:rFonts w:asciiTheme="minorHAnsi" w:hAnsiTheme="minorHAnsi" w:cstheme="minorHAnsi"/>
          <w:sz w:val="22"/>
          <w:szCs w:val="22"/>
        </w:rPr>
        <w:t xml:space="preserve">aged 35-44 </w:t>
      </w:r>
      <w:r>
        <w:rPr>
          <w:rFonts w:asciiTheme="minorHAnsi" w:hAnsiTheme="minorHAnsi" w:cstheme="minorHAnsi"/>
          <w:sz w:val="22"/>
          <w:szCs w:val="22"/>
        </w:rPr>
        <w:t>(60%).</w:t>
      </w:r>
    </w:p>
    <w:p w:rsidR="00E20472" w:rsidRDefault="00D956BA"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Three-quarters of mothers </w:t>
      </w:r>
      <w:r w:rsidR="00105049">
        <w:rPr>
          <w:rFonts w:asciiTheme="minorHAnsi" w:hAnsiTheme="minorHAnsi" w:cstheme="minorHAnsi"/>
          <w:sz w:val="22"/>
          <w:szCs w:val="22"/>
        </w:rPr>
        <w:t xml:space="preserve">(73%) </w:t>
      </w:r>
      <w:r>
        <w:rPr>
          <w:rFonts w:asciiTheme="minorHAnsi" w:hAnsiTheme="minorHAnsi" w:cstheme="minorHAnsi"/>
          <w:sz w:val="22"/>
          <w:szCs w:val="22"/>
        </w:rPr>
        <w:t>who breastfed for at least six months stated that they thought it was more convenient than formula feeding.</w:t>
      </w:r>
      <w:r w:rsidR="00E20472">
        <w:rPr>
          <w:rFonts w:asciiTheme="minorHAnsi" w:hAnsiTheme="minorHAnsi" w:cstheme="minorHAnsi"/>
          <w:sz w:val="22"/>
          <w:szCs w:val="22"/>
        </w:rPr>
        <w:t xml:space="preserve">  </w:t>
      </w:r>
    </w:p>
    <w:p w:rsidR="00D956BA" w:rsidRDefault="00E20472"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Mothers who </w:t>
      </w:r>
      <w:r w:rsidR="00137E3D">
        <w:rPr>
          <w:rFonts w:asciiTheme="minorHAnsi" w:hAnsiTheme="minorHAnsi" w:cstheme="minorHAnsi"/>
          <w:sz w:val="22"/>
          <w:szCs w:val="22"/>
        </w:rPr>
        <w:t xml:space="preserve">tended to breastfeed their baby for a shorter period </w:t>
      </w:r>
      <w:r w:rsidR="00105049">
        <w:rPr>
          <w:rFonts w:asciiTheme="minorHAnsi" w:hAnsiTheme="minorHAnsi" w:cstheme="minorHAnsi"/>
          <w:sz w:val="22"/>
          <w:szCs w:val="22"/>
        </w:rPr>
        <w:t>generally thought</w:t>
      </w:r>
      <w:r>
        <w:rPr>
          <w:rFonts w:asciiTheme="minorHAnsi" w:hAnsiTheme="minorHAnsi" w:cstheme="minorHAnsi"/>
          <w:sz w:val="22"/>
          <w:szCs w:val="22"/>
        </w:rPr>
        <w:t xml:space="preserve"> that formula feeding was more convenient than breastfeeding.  </w:t>
      </w:r>
      <w:r w:rsidR="00105049">
        <w:rPr>
          <w:rFonts w:asciiTheme="minorHAnsi" w:hAnsiTheme="minorHAnsi" w:cstheme="minorHAnsi"/>
          <w:sz w:val="22"/>
          <w:szCs w:val="22"/>
        </w:rPr>
        <w:t>This was true for h</w:t>
      </w:r>
      <w:r>
        <w:rPr>
          <w:rFonts w:asciiTheme="minorHAnsi" w:hAnsiTheme="minorHAnsi" w:cstheme="minorHAnsi"/>
          <w:sz w:val="22"/>
          <w:szCs w:val="22"/>
        </w:rPr>
        <w:t xml:space="preserve">alf of mothers who breastfed </w:t>
      </w:r>
      <w:r w:rsidR="00D05342">
        <w:rPr>
          <w:rFonts w:asciiTheme="minorHAnsi" w:hAnsiTheme="minorHAnsi" w:cstheme="minorHAnsi"/>
          <w:sz w:val="22"/>
          <w:szCs w:val="22"/>
        </w:rPr>
        <w:t xml:space="preserve">their baby </w:t>
      </w:r>
      <w:r>
        <w:rPr>
          <w:rFonts w:asciiTheme="minorHAnsi" w:hAnsiTheme="minorHAnsi" w:cstheme="minorHAnsi"/>
          <w:sz w:val="22"/>
          <w:szCs w:val="22"/>
        </w:rPr>
        <w:t xml:space="preserve">for less than two weeks, while 20% </w:t>
      </w:r>
      <w:r w:rsidR="00105049">
        <w:rPr>
          <w:rFonts w:asciiTheme="minorHAnsi" w:hAnsiTheme="minorHAnsi" w:cstheme="minorHAnsi"/>
          <w:sz w:val="22"/>
          <w:szCs w:val="22"/>
        </w:rPr>
        <w:t xml:space="preserve">of them </w:t>
      </w:r>
      <w:r>
        <w:rPr>
          <w:rFonts w:asciiTheme="minorHAnsi" w:hAnsiTheme="minorHAnsi" w:cstheme="minorHAnsi"/>
          <w:sz w:val="22"/>
          <w:szCs w:val="22"/>
        </w:rPr>
        <w:t>disagreed</w:t>
      </w:r>
      <w:r w:rsidR="00D05342" w:rsidRPr="00D05342">
        <w:rPr>
          <w:rFonts w:asciiTheme="minorHAnsi" w:hAnsiTheme="minorHAnsi" w:cstheme="minorHAnsi"/>
          <w:sz w:val="22"/>
          <w:szCs w:val="22"/>
        </w:rPr>
        <w:t xml:space="preserve"> </w:t>
      </w:r>
      <w:r w:rsidR="00D05342">
        <w:rPr>
          <w:rFonts w:asciiTheme="minorHAnsi" w:hAnsiTheme="minorHAnsi" w:cstheme="minorHAnsi"/>
          <w:sz w:val="22"/>
          <w:szCs w:val="22"/>
        </w:rPr>
        <w:t>that formula feeding was more convenient</w:t>
      </w:r>
      <w:r>
        <w:rPr>
          <w:rFonts w:asciiTheme="minorHAnsi" w:hAnsiTheme="minorHAnsi" w:cstheme="minorHAnsi"/>
          <w:sz w:val="22"/>
          <w:szCs w:val="22"/>
        </w:rPr>
        <w:t>.</w:t>
      </w:r>
    </w:p>
    <w:p w:rsidR="00220258" w:rsidRPr="00DB0092" w:rsidRDefault="00220258" w:rsidP="003D5CC0">
      <w:pPr>
        <w:tabs>
          <w:tab w:val="left" w:pos="-180"/>
        </w:tabs>
        <w:suppressAutoHyphens/>
        <w:spacing w:before="360" w:after="120"/>
        <w:rPr>
          <w:rFonts w:asciiTheme="minorHAnsi" w:hAnsiTheme="minorHAnsi" w:cstheme="minorHAnsi"/>
          <w:color w:val="808000"/>
          <w:sz w:val="22"/>
          <w:szCs w:val="22"/>
        </w:rPr>
      </w:pPr>
      <w:r w:rsidRPr="00DB0092">
        <w:rPr>
          <w:rFonts w:asciiTheme="minorHAnsi" w:hAnsiTheme="minorHAnsi" w:cstheme="minorHAnsi"/>
          <w:b/>
          <w:color w:val="808000"/>
          <w:sz w:val="22"/>
          <w:szCs w:val="22"/>
        </w:rPr>
        <w:t>Opinion on Formula Vs Breast Milk</w:t>
      </w:r>
    </w:p>
    <w:p w:rsidR="00220258" w:rsidRDefault="00220258" w:rsidP="00DF488D">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Mothers who breastfed their baby were more likely to disagree that formula was as healthy for an infant as breast milk (51%)</w:t>
      </w:r>
      <w:r w:rsidR="00105049">
        <w:rPr>
          <w:rFonts w:asciiTheme="minorHAnsi" w:hAnsiTheme="minorHAnsi" w:cstheme="minorHAnsi"/>
          <w:sz w:val="22"/>
          <w:szCs w:val="22"/>
        </w:rPr>
        <w:t>.  Conversely</w:t>
      </w:r>
      <w:r>
        <w:rPr>
          <w:rFonts w:asciiTheme="minorHAnsi" w:hAnsiTheme="minorHAnsi" w:cstheme="minorHAnsi"/>
          <w:sz w:val="22"/>
          <w:szCs w:val="22"/>
        </w:rPr>
        <w:t xml:space="preserve"> mothers who did not breastfeed their baby were more likely to agree that formula was as healthy for an infant as breast milk (50%).</w:t>
      </w:r>
    </w:p>
    <w:p w:rsidR="00D956BA" w:rsidRPr="00220258" w:rsidRDefault="00220258" w:rsidP="001349C1">
      <w:pPr>
        <w:tabs>
          <w:tab w:val="left" w:pos="-180"/>
        </w:tabs>
        <w:suppressAutoHyphens/>
        <w:rPr>
          <w:rFonts w:asciiTheme="minorHAnsi" w:hAnsiTheme="minorHAnsi" w:cstheme="minorHAnsi"/>
          <w:b/>
        </w:rPr>
      </w:pPr>
      <w:r w:rsidRPr="00220258">
        <w:rPr>
          <w:rFonts w:asciiTheme="minorHAnsi" w:hAnsiTheme="minorHAnsi" w:cstheme="minorHAnsi"/>
          <w:b/>
        </w:rPr>
        <w:lastRenderedPageBreak/>
        <w:t>Opinion on Whether Formula is as Healthy for an Infant as Breast Milk by Whether Mother Breastfed or Not</w:t>
      </w:r>
    </w:p>
    <w:p w:rsidR="00220258" w:rsidRDefault="00220258" w:rsidP="00BF3EB7">
      <w:pPr>
        <w:tabs>
          <w:tab w:val="left" w:pos="-180"/>
        </w:tabs>
        <w:suppressAutoHyphens/>
        <w:spacing w:after="60"/>
        <w:rPr>
          <w:rFonts w:asciiTheme="minorHAnsi" w:hAnsiTheme="minorHAnsi" w:cstheme="minorHAnsi"/>
          <w:sz w:val="22"/>
          <w:szCs w:val="22"/>
        </w:rPr>
      </w:pPr>
      <w:r w:rsidRPr="00220258">
        <w:rPr>
          <w:rFonts w:asciiTheme="minorHAnsi" w:hAnsiTheme="minorHAnsi" w:cstheme="minorHAnsi"/>
          <w:noProof/>
          <w:sz w:val="22"/>
          <w:szCs w:val="22"/>
          <w:lang w:val="en-IE" w:eastAsia="en-IE"/>
        </w:rPr>
        <w:drawing>
          <wp:inline distT="0" distB="0" distL="0" distR="0">
            <wp:extent cx="4324350" cy="2520000"/>
            <wp:effectExtent l="19050" t="0" r="0" b="0"/>
            <wp:docPr id="6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20258" w:rsidRPr="00BF3EB7" w:rsidRDefault="00220258" w:rsidP="00BF3EB7">
      <w:pPr>
        <w:tabs>
          <w:tab w:val="left" w:pos="-180"/>
        </w:tabs>
        <w:suppressAutoHyphens/>
        <w:spacing w:after="60"/>
        <w:rPr>
          <w:rFonts w:asciiTheme="minorHAnsi" w:hAnsiTheme="minorHAnsi" w:cstheme="minorHAnsi"/>
          <w:sz w:val="22"/>
          <w:szCs w:val="22"/>
        </w:rPr>
      </w:pPr>
    </w:p>
    <w:p w:rsidR="00AD2B70" w:rsidRDefault="00AD2B70" w:rsidP="007A412E">
      <w:pPr>
        <w:pStyle w:val="Heading2"/>
        <w:spacing w:before="0" w:after="60"/>
        <w:rPr>
          <w:rFonts w:asciiTheme="minorHAnsi" w:hAnsiTheme="minorHAnsi" w:cstheme="minorHAnsi"/>
          <w:sz w:val="24"/>
          <w:szCs w:val="24"/>
        </w:rPr>
        <w:sectPr w:rsidR="00AD2B70" w:rsidSect="007033B0">
          <w:pgSz w:w="16838" w:h="11906" w:orient="landscape"/>
          <w:pgMar w:top="737" w:right="1247" w:bottom="737" w:left="1247" w:header="454" w:footer="567" w:gutter="0"/>
          <w:cols w:num="2" w:space="454"/>
          <w:docGrid w:linePitch="360"/>
        </w:sectPr>
      </w:pPr>
      <w:bookmarkStart w:id="47" w:name="_Ref381945856"/>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360319" w:rsidRPr="00DC2342" w:rsidTr="00361E62">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FFCC66"/>
            </w:tcBorders>
            <w:shd w:val="clear" w:color="auto" w:fill="CC3300"/>
            <w:textDirection w:val="btLr"/>
          </w:tcPr>
          <w:p w:rsidR="00360319" w:rsidRPr="00361E62" w:rsidRDefault="00360319" w:rsidP="00B27573">
            <w:pPr>
              <w:pStyle w:val="Heading2"/>
              <w:spacing w:before="0" w:after="60"/>
              <w:ind w:left="113" w:right="113"/>
              <w:jc w:val="center"/>
              <w:outlineLvl w:val="1"/>
              <w:rPr>
                <w:rFonts w:ascii="Calibri" w:hAnsi="Calibri" w:cs="Calibri"/>
                <w:i/>
                <w:color w:val="FFCC66"/>
                <w:sz w:val="72"/>
                <w:szCs w:val="72"/>
              </w:rPr>
            </w:pPr>
            <w:bookmarkStart w:id="48" w:name="_Ref382555597"/>
            <w:r w:rsidRPr="00361E62">
              <w:rPr>
                <w:rFonts w:ascii="Calibri" w:hAnsi="Calibri" w:cs="Calibri"/>
                <w:i/>
                <w:color w:val="FFCC66"/>
                <w:sz w:val="72"/>
                <w:szCs w:val="72"/>
              </w:rPr>
              <w:lastRenderedPageBreak/>
              <w:t>Skin Cancer Prevention</w:t>
            </w:r>
            <w:bookmarkEnd w:id="48"/>
            <w:r w:rsidRPr="00361E62">
              <w:rPr>
                <w:rFonts w:ascii="Calibri" w:hAnsi="Calibri" w:cs="Calibri"/>
                <w:i/>
                <w:color w:val="FFCC66"/>
                <w:sz w:val="72"/>
                <w:szCs w:val="72"/>
              </w:rPr>
              <w:t xml:space="preserve"> </w:t>
            </w:r>
          </w:p>
        </w:tc>
        <w:tc>
          <w:tcPr>
            <w:tcW w:w="5977" w:type="dxa"/>
            <w:tcBorders>
              <w:top w:val="nil"/>
              <w:left w:val="thinThickSmallGap" w:sz="24" w:space="0" w:color="FFCC66"/>
              <w:bottom w:val="nil"/>
              <w:right w:val="nil"/>
            </w:tcBorders>
            <w:shd w:val="clear" w:color="auto" w:fill="CC3300"/>
            <w:vAlign w:val="center"/>
          </w:tcPr>
          <w:p w:rsidR="00360319" w:rsidRPr="00DC2342" w:rsidRDefault="00360319" w:rsidP="00B27573">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360319" w:rsidRPr="00DC2342" w:rsidTr="00361E62">
        <w:trPr>
          <w:cantSplit/>
          <w:trHeight w:val="1928"/>
        </w:trPr>
        <w:tc>
          <w:tcPr>
            <w:tcW w:w="1184" w:type="dxa"/>
            <w:vMerge/>
            <w:tcBorders>
              <w:left w:val="single" w:sz="4" w:space="0" w:color="95B3D7" w:themeColor="accent1" w:themeTint="99"/>
              <w:right w:val="thinThickSmallGap" w:sz="24" w:space="0" w:color="FFCC66"/>
            </w:tcBorders>
            <w:shd w:val="clear" w:color="auto" w:fill="CC3300"/>
          </w:tcPr>
          <w:p w:rsidR="00360319" w:rsidRPr="006F13A2" w:rsidRDefault="00360319"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66"/>
              <w:bottom w:val="nil"/>
              <w:right w:val="nil"/>
            </w:tcBorders>
            <w:shd w:val="clear" w:color="auto" w:fill="CC3300"/>
            <w:vAlign w:val="center"/>
          </w:tcPr>
          <w:p w:rsidR="00360319" w:rsidRPr="00DC2342" w:rsidRDefault="00360319" w:rsidP="00360319">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Sun protection measures taken</w:t>
            </w:r>
          </w:p>
        </w:tc>
      </w:tr>
      <w:tr w:rsidR="00360319" w:rsidRPr="00DC2342" w:rsidTr="00361E62">
        <w:trPr>
          <w:cantSplit/>
          <w:trHeight w:val="1928"/>
        </w:trPr>
        <w:tc>
          <w:tcPr>
            <w:tcW w:w="1184" w:type="dxa"/>
            <w:vMerge/>
            <w:tcBorders>
              <w:left w:val="single" w:sz="4" w:space="0" w:color="95B3D7" w:themeColor="accent1" w:themeTint="99"/>
              <w:right w:val="thinThickSmallGap" w:sz="24" w:space="0" w:color="FFCC66"/>
            </w:tcBorders>
            <w:shd w:val="clear" w:color="auto" w:fill="CC3300"/>
          </w:tcPr>
          <w:p w:rsidR="00360319" w:rsidRPr="006F13A2" w:rsidRDefault="00360319"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66"/>
              <w:bottom w:val="nil"/>
              <w:right w:val="nil"/>
            </w:tcBorders>
            <w:shd w:val="clear" w:color="auto" w:fill="CC3300"/>
            <w:vAlign w:val="center"/>
          </w:tcPr>
          <w:p w:rsidR="00360319" w:rsidRPr="00DC2342" w:rsidRDefault="00360319" w:rsidP="00360319">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Use of sunscreen</w:t>
            </w:r>
          </w:p>
        </w:tc>
      </w:tr>
      <w:tr w:rsidR="00360319" w:rsidRPr="00DC2342" w:rsidTr="00361E62">
        <w:trPr>
          <w:cantSplit/>
          <w:trHeight w:val="1928"/>
        </w:trPr>
        <w:tc>
          <w:tcPr>
            <w:tcW w:w="1184" w:type="dxa"/>
            <w:vMerge/>
            <w:tcBorders>
              <w:left w:val="single" w:sz="4" w:space="0" w:color="95B3D7" w:themeColor="accent1" w:themeTint="99"/>
              <w:right w:val="thinThickSmallGap" w:sz="24" w:space="0" w:color="FFCC66"/>
            </w:tcBorders>
            <w:shd w:val="clear" w:color="auto" w:fill="CC3300"/>
          </w:tcPr>
          <w:p w:rsidR="00360319" w:rsidRPr="006F13A2" w:rsidRDefault="00360319"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66"/>
              <w:bottom w:val="nil"/>
              <w:right w:val="nil"/>
            </w:tcBorders>
            <w:shd w:val="clear" w:color="auto" w:fill="CC3300"/>
            <w:vAlign w:val="center"/>
          </w:tcPr>
          <w:p w:rsidR="00360319" w:rsidRPr="00DC2342" w:rsidRDefault="00360319" w:rsidP="00360319">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Sunbeds</w:t>
            </w:r>
          </w:p>
        </w:tc>
      </w:tr>
      <w:tr w:rsidR="00360319" w:rsidRPr="00DC2342" w:rsidTr="00361E62">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FFCC66"/>
            </w:tcBorders>
            <w:shd w:val="clear" w:color="auto" w:fill="CC3300"/>
          </w:tcPr>
          <w:p w:rsidR="00360319" w:rsidRPr="006F13A2" w:rsidRDefault="00360319"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FCC66"/>
              <w:bottom w:val="nil"/>
              <w:right w:val="nil"/>
            </w:tcBorders>
            <w:shd w:val="clear" w:color="auto" w:fill="CC3300"/>
            <w:vAlign w:val="center"/>
          </w:tcPr>
          <w:p w:rsidR="00360319" w:rsidRPr="00DC2342" w:rsidRDefault="00360319" w:rsidP="00B27573">
            <w:pPr>
              <w:pStyle w:val="Heading2"/>
              <w:spacing w:before="0" w:after="60"/>
              <w:outlineLvl w:val="1"/>
              <w:rPr>
                <w:rFonts w:asciiTheme="minorHAnsi" w:hAnsiTheme="minorHAnsi" w:cstheme="minorHAnsi"/>
                <w:i/>
                <w:color w:val="FFFFFF" w:themeColor="background1"/>
                <w:sz w:val="28"/>
                <w:szCs w:val="28"/>
              </w:rPr>
            </w:pPr>
          </w:p>
        </w:tc>
      </w:tr>
    </w:tbl>
    <w:p w:rsidR="00360319" w:rsidRDefault="00360319" w:rsidP="00360319">
      <w:pPr>
        <w:jc w:val="left"/>
        <w:rPr>
          <w:rFonts w:asciiTheme="minorHAnsi" w:hAnsiTheme="minorHAnsi" w:cstheme="minorHAnsi"/>
          <w:i/>
          <w:sz w:val="22"/>
          <w:szCs w:val="22"/>
        </w:rPr>
      </w:pPr>
    </w:p>
    <w:p w:rsidR="00360319" w:rsidRDefault="00360319" w:rsidP="00360319">
      <w:pPr>
        <w:jc w:val="left"/>
        <w:rPr>
          <w:rFonts w:asciiTheme="minorHAnsi" w:hAnsiTheme="minorHAnsi" w:cstheme="minorHAnsi"/>
          <w:i/>
          <w:sz w:val="22"/>
          <w:szCs w:val="22"/>
        </w:rPr>
      </w:pPr>
    </w:p>
    <w:p w:rsidR="00360319" w:rsidRPr="00967502" w:rsidRDefault="00360319" w:rsidP="00360319">
      <w:pPr>
        <w:jc w:val="left"/>
        <w:rPr>
          <w:rFonts w:asciiTheme="minorHAnsi" w:hAnsiTheme="minorHAnsi" w:cstheme="minorHAnsi"/>
          <w:i/>
          <w:sz w:val="22"/>
          <w:szCs w:val="22"/>
        </w:rPr>
      </w:pPr>
    </w:p>
    <w:p w:rsidR="00360319" w:rsidRPr="00967502" w:rsidRDefault="00360319" w:rsidP="00360319">
      <w:pPr>
        <w:jc w:val="left"/>
        <w:rPr>
          <w:rFonts w:asciiTheme="minorHAnsi" w:hAnsiTheme="minorHAnsi" w:cstheme="minorHAnsi"/>
          <w:i/>
          <w:sz w:val="22"/>
          <w:szCs w:val="22"/>
        </w:rPr>
      </w:pPr>
    </w:p>
    <w:tbl>
      <w:tblPr>
        <w:tblStyle w:val="TableGrid"/>
        <w:tblW w:w="7260" w:type="dxa"/>
        <w:tblLook w:val="04A0" w:firstRow="1" w:lastRow="0" w:firstColumn="1" w:lastColumn="0" w:noHBand="0" w:noVBand="1"/>
      </w:tblPr>
      <w:tblGrid>
        <w:gridCol w:w="1432"/>
        <w:gridCol w:w="1432"/>
        <w:gridCol w:w="1432"/>
        <w:gridCol w:w="1432"/>
        <w:gridCol w:w="99"/>
        <w:gridCol w:w="1334"/>
        <w:gridCol w:w="99"/>
      </w:tblGrid>
      <w:tr w:rsidR="00360319" w:rsidRPr="00967502" w:rsidTr="00361E62">
        <w:trPr>
          <w:gridAfter w:val="1"/>
          <w:wAfter w:w="99" w:type="dxa"/>
          <w:trHeight w:val="1361"/>
        </w:trPr>
        <w:tc>
          <w:tcPr>
            <w:tcW w:w="2864" w:type="dxa"/>
            <w:gridSpan w:val="2"/>
            <w:tcBorders>
              <w:top w:val="nil"/>
              <w:left w:val="nil"/>
              <w:bottom w:val="nil"/>
              <w:right w:val="nil"/>
            </w:tcBorders>
            <w:shd w:val="clear" w:color="auto" w:fill="FFCC00"/>
            <w:vAlign w:val="center"/>
          </w:tcPr>
          <w:p w:rsidR="00360319" w:rsidRPr="00967502" w:rsidRDefault="00967502" w:rsidP="00697328">
            <w:pPr>
              <w:jc w:val="left"/>
              <w:rPr>
                <w:rFonts w:asciiTheme="minorHAnsi" w:hAnsiTheme="minorHAnsi" w:cstheme="minorHAnsi"/>
                <w:b/>
                <w:i/>
                <w:color w:val="800000"/>
                <w:sz w:val="24"/>
                <w:szCs w:val="24"/>
              </w:rPr>
            </w:pPr>
            <w:r w:rsidRPr="00967502">
              <w:rPr>
                <w:rFonts w:asciiTheme="minorHAnsi" w:hAnsiTheme="minorHAnsi" w:cstheme="minorHAnsi"/>
                <w:i/>
                <w:color w:val="800000"/>
                <w:sz w:val="24"/>
                <w:szCs w:val="24"/>
              </w:rPr>
              <w:t>73% of respondents felt that no-one should use sunbeds at all</w:t>
            </w: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2865" w:type="dxa"/>
            <w:gridSpan w:val="3"/>
            <w:vMerge w:val="restart"/>
            <w:tcBorders>
              <w:top w:val="nil"/>
              <w:left w:val="nil"/>
              <w:bottom w:val="nil"/>
              <w:right w:val="nil"/>
            </w:tcBorders>
            <w:shd w:val="clear" w:color="auto" w:fill="660033"/>
            <w:vAlign w:val="center"/>
          </w:tcPr>
          <w:p w:rsidR="00360319" w:rsidRPr="00967502" w:rsidRDefault="00967502" w:rsidP="00967502">
            <w:pPr>
              <w:jc w:val="left"/>
              <w:rPr>
                <w:rFonts w:asciiTheme="minorHAnsi" w:hAnsiTheme="minorHAnsi" w:cstheme="minorHAnsi"/>
                <w:b/>
                <w:i/>
                <w:color w:val="FFFFFF" w:themeColor="background1"/>
                <w:sz w:val="28"/>
                <w:szCs w:val="28"/>
              </w:rPr>
            </w:pPr>
            <w:r w:rsidRPr="00967502">
              <w:rPr>
                <w:rFonts w:asciiTheme="minorHAnsi" w:hAnsiTheme="minorHAnsi" w:cstheme="minorHAnsi"/>
                <w:b/>
                <w:i/>
                <w:sz w:val="28"/>
                <w:szCs w:val="28"/>
              </w:rPr>
              <w:t>68% of respondents stated that they had never used a sunbed and that they never would use one</w:t>
            </w:r>
            <w:r w:rsidRPr="00967502">
              <w:rPr>
                <w:rFonts w:asciiTheme="minorHAnsi" w:hAnsiTheme="minorHAnsi" w:cstheme="minorHAnsi"/>
                <w:b/>
                <w:sz w:val="28"/>
                <w:szCs w:val="28"/>
              </w:rPr>
              <w:t xml:space="preserve"> </w:t>
            </w:r>
          </w:p>
        </w:tc>
      </w:tr>
      <w:tr w:rsidR="00360319" w:rsidRPr="00967502" w:rsidTr="00361E62">
        <w:trPr>
          <w:gridAfter w:val="1"/>
          <w:wAfter w:w="99" w:type="dxa"/>
          <w:trHeight w:val="1020"/>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2865" w:type="dxa"/>
            <w:gridSpan w:val="3"/>
            <w:vMerge/>
            <w:tcBorders>
              <w:top w:val="nil"/>
              <w:left w:val="nil"/>
              <w:bottom w:val="nil"/>
              <w:right w:val="nil"/>
            </w:tcBorders>
            <w:shd w:val="clear" w:color="auto" w:fill="660033"/>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B27573">
        <w:trPr>
          <w:gridAfter w:val="1"/>
          <w:wAfter w:w="99" w:type="dxa"/>
          <w:trHeight w:val="340"/>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361E62">
        <w:trPr>
          <w:gridAfter w:val="1"/>
          <w:wAfter w:w="99" w:type="dxa"/>
          <w:trHeight w:val="1587"/>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9900"/>
            <w:vAlign w:val="center"/>
          </w:tcPr>
          <w:p w:rsidR="00360319" w:rsidRPr="00967502" w:rsidRDefault="00967502" w:rsidP="00967502">
            <w:pPr>
              <w:jc w:val="left"/>
              <w:rPr>
                <w:rFonts w:asciiTheme="minorHAnsi" w:hAnsiTheme="minorHAnsi" w:cstheme="minorHAnsi"/>
                <w:b/>
                <w:i/>
                <w:color w:val="CC3300"/>
                <w:sz w:val="32"/>
                <w:szCs w:val="32"/>
              </w:rPr>
            </w:pPr>
            <w:r w:rsidRPr="00967502">
              <w:rPr>
                <w:rFonts w:asciiTheme="minorHAnsi" w:hAnsiTheme="minorHAnsi" w:cstheme="minorHAnsi"/>
                <w:b/>
                <w:i/>
                <w:color w:val="CC3300"/>
                <w:sz w:val="32"/>
                <w:szCs w:val="32"/>
              </w:rPr>
              <w:t>43% of those in the 16-24 age-group were sunburnt at least once in the last year</w:t>
            </w:r>
          </w:p>
        </w:tc>
        <w:tc>
          <w:tcPr>
            <w:tcW w:w="1433" w:type="dxa"/>
            <w:gridSpan w:val="2"/>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B27573">
        <w:trPr>
          <w:gridAfter w:val="1"/>
          <w:wAfter w:w="99" w:type="dxa"/>
          <w:trHeight w:val="510"/>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361E62">
        <w:trPr>
          <w:trHeight w:val="1361"/>
        </w:trPr>
        <w:tc>
          <w:tcPr>
            <w:tcW w:w="2864" w:type="dxa"/>
            <w:gridSpan w:val="2"/>
            <w:vMerge w:val="restart"/>
            <w:tcBorders>
              <w:top w:val="nil"/>
              <w:left w:val="nil"/>
              <w:bottom w:val="nil"/>
              <w:right w:val="nil"/>
            </w:tcBorders>
            <w:shd w:val="clear" w:color="auto" w:fill="FFCC66"/>
            <w:vAlign w:val="center"/>
          </w:tcPr>
          <w:p w:rsidR="00360319" w:rsidRPr="00967502" w:rsidRDefault="00697328" w:rsidP="00697328">
            <w:pPr>
              <w:jc w:val="left"/>
              <w:rPr>
                <w:rFonts w:asciiTheme="minorHAnsi" w:hAnsiTheme="minorHAnsi" w:cstheme="minorHAnsi"/>
                <w:i/>
                <w:color w:val="660033"/>
                <w:sz w:val="28"/>
                <w:szCs w:val="28"/>
              </w:rPr>
            </w:pPr>
            <w:r w:rsidRPr="00967502">
              <w:rPr>
                <w:rFonts w:asciiTheme="minorHAnsi" w:hAnsiTheme="minorHAnsi" w:cstheme="minorHAnsi"/>
                <w:i/>
                <w:color w:val="660033"/>
                <w:sz w:val="28"/>
                <w:szCs w:val="28"/>
              </w:rPr>
              <w:t>21% of males and 9% of females took no measures to protect themselves against sunburn</w:t>
            </w: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531" w:type="dxa"/>
            <w:gridSpan w:val="2"/>
            <w:tcBorders>
              <w:top w:val="nil"/>
              <w:left w:val="nil"/>
              <w:bottom w:val="nil"/>
              <w:right w:val="nil"/>
            </w:tcBorders>
            <w:shd w:val="clear" w:color="auto" w:fill="800000"/>
            <w:vAlign w:val="center"/>
          </w:tcPr>
          <w:p w:rsidR="00360319" w:rsidRPr="00967502" w:rsidRDefault="00360319" w:rsidP="00B27573">
            <w:pPr>
              <w:jc w:val="left"/>
              <w:rPr>
                <w:rFonts w:asciiTheme="minorHAnsi" w:hAnsiTheme="minorHAnsi" w:cstheme="minorHAnsi"/>
                <w:b/>
                <w:i/>
                <w:color w:val="FFFFFF" w:themeColor="background1"/>
                <w:sz w:val="22"/>
                <w:szCs w:val="22"/>
              </w:rPr>
            </w:pPr>
            <w:r w:rsidRPr="00967502">
              <w:rPr>
                <w:rFonts w:asciiTheme="minorHAnsi" w:hAnsiTheme="minorHAnsi" w:cstheme="minorHAnsi"/>
                <w:i/>
                <w:sz w:val="22"/>
                <w:szCs w:val="22"/>
              </w:rPr>
              <w:t>6</w:t>
            </w:r>
            <w:r w:rsidR="00697328" w:rsidRPr="00967502">
              <w:rPr>
                <w:rFonts w:asciiTheme="minorHAnsi" w:hAnsiTheme="minorHAnsi" w:cstheme="minorHAnsi"/>
                <w:i/>
                <w:sz w:val="22"/>
                <w:szCs w:val="22"/>
              </w:rPr>
              <w:t>8</w:t>
            </w:r>
            <w:r w:rsidRPr="00967502">
              <w:rPr>
                <w:rFonts w:asciiTheme="minorHAnsi" w:hAnsiTheme="minorHAnsi" w:cstheme="minorHAnsi"/>
                <w:i/>
                <w:sz w:val="22"/>
                <w:szCs w:val="22"/>
              </w:rPr>
              <w:t xml:space="preserve">% of </w:t>
            </w:r>
            <w:r w:rsidR="00697328" w:rsidRPr="00967502">
              <w:rPr>
                <w:rFonts w:asciiTheme="minorHAnsi" w:hAnsiTheme="minorHAnsi" w:cstheme="minorHAnsi"/>
                <w:i/>
                <w:sz w:val="22"/>
                <w:szCs w:val="22"/>
              </w:rPr>
              <w:t xml:space="preserve">respondents use sunscreen </w:t>
            </w:r>
          </w:p>
        </w:tc>
        <w:tc>
          <w:tcPr>
            <w:tcW w:w="1433" w:type="dxa"/>
            <w:gridSpan w:val="2"/>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361E62">
        <w:trPr>
          <w:gridAfter w:val="1"/>
          <w:wAfter w:w="99" w:type="dxa"/>
          <w:trHeight w:val="567"/>
        </w:trPr>
        <w:tc>
          <w:tcPr>
            <w:tcW w:w="2864" w:type="dxa"/>
            <w:gridSpan w:val="2"/>
            <w:vMerge/>
            <w:tcBorders>
              <w:top w:val="nil"/>
              <w:left w:val="nil"/>
              <w:bottom w:val="nil"/>
              <w:right w:val="nil"/>
            </w:tcBorders>
            <w:shd w:val="clear" w:color="auto" w:fill="FFCC66"/>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B27573">
        <w:trPr>
          <w:gridAfter w:val="1"/>
          <w:wAfter w:w="99" w:type="dxa"/>
          <w:trHeight w:val="283"/>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r>
      <w:tr w:rsidR="00360319" w:rsidRPr="00967502" w:rsidTr="00361E62">
        <w:trPr>
          <w:gridAfter w:val="1"/>
          <w:wAfter w:w="99" w:type="dxa"/>
          <w:trHeight w:val="1701"/>
        </w:trPr>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360319" w:rsidRPr="00967502" w:rsidRDefault="00360319"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CC3300"/>
            <w:vAlign w:val="center"/>
          </w:tcPr>
          <w:p w:rsidR="00360319" w:rsidRPr="00967502" w:rsidRDefault="00967502" w:rsidP="00967502">
            <w:pPr>
              <w:jc w:val="left"/>
              <w:rPr>
                <w:rFonts w:asciiTheme="minorHAnsi" w:hAnsiTheme="minorHAnsi" w:cstheme="minorHAnsi"/>
                <w:b/>
                <w:i/>
                <w:color w:val="FFFFFF" w:themeColor="background1"/>
                <w:sz w:val="30"/>
                <w:szCs w:val="30"/>
              </w:rPr>
            </w:pPr>
            <w:r w:rsidRPr="00967502">
              <w:rPr>
                <w:rFonts w:asciiTheme="minorHAnsi" w:hAnsiTheme="minorHAnsi" w:cstheme="minorHAnsi"/>
                <w:b/>
                <w:i/>
                <w:color w:val="FFFFFF" w:themeColor="background1"/>
                <w:sz w:val="30"/>
                <w:szCs w:val="30"/>
              </w:rPr>
              <w:t>81% of those who use sunscreen use one with a sun protection factor of at least 15</w:t>
            </w:r>
          </w:p>
        </w:tc>
      </w:tr>
    </w:tbl>
    <w:p w:rsidR="00AD2B70" w:rsidRDefault="00AD2B70" w:rsidP="007A412E">
      <w:pPr>
        <w:pStyle w:val="Heading2"/>
        <w:spacing w:before="0" w:after="60"/>
        <w:rPr>
          <w:rFonts w:asciiTheme="minorHAnsi" w:hAnsiTheme="minorHAnsi" w:cstheme="minorHAnsi"/>
          <w:sz w:val="24"/>
          <w:szCs w:val="24"/>
        </w:rPr>
        <w:sectPr w:rsidR="00AD2B70" w:rsidSect="007033B0">
          <w:pgSz w:w="16838" w:h="11906" w:orient="landscape"/>
          <w:pgMar w:top="737" w:right="1247" w:bottom="737" w:left="1247" w:header="454" w:footer="567" w:gutter="0"/>
          <w:cols w:num="2" w:space="454"/>
          <w:docGrid w:linePitch="360"/>
        </w:sectPr>
      </w:pPr>
    </w:p>
    <w:p w:rsidR="00E16AF0" w:rsidRPr="00361E62" w:rsidRDefault="00E16AF0" w:rsidP="00361E62">
      <w:pPr>
        <w:pStyle w:val="Heading2"/>
        <w:spacing w:before="0" w:after="120"/>
        <w:rPr>
          <w:rFonts w:asciiTheme="minorHAnsi" w:hAnsiTheme="minorHAnsi" w:cstheme="minorHAnsi"/>
          <w:color w:val="CC3300"/>
          <w:sz w:val="24"/>
          <w:szCs w:val="24"/>
        </w:rPr>
      </w:pPr>
      <w:r w:rsidRPr="00361E62">
        <w:rPr>
          <w:rFonts w:asciiTheme="minorHAnsi" w:hAnsiTheme="minorHAnsi" w:cstheme="minorHAnsi"/>
          <w:color w:val="CC3300"/>
          <w:sz w:val="24"/>
          <w:szCs w:val="24"/>
        </w:rPr>
        <w:lastRenderedPageBreak/>
        <w:t>Skin Cancer Prevention</w:t>
      </w:r>
      <w:bookmarkEnd w:id="47"/>
    </w:p>
    <w:p w:rsidR="00E16AF0" w:rsidRPr="00361E62" w:rsidRDefault="00E16AF0" w:rsidP="00361E62">
      <w:pPr>
        <w:tabs>
          <w:tab w:val="left" w:pos="-180"/>
        </w:tabs>
        <w:suppressAutoHyphens/>
        <w:spacing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Background</w:t>
      </w:r>
    </w:p>
    <w:p w:rsidR="00F41605"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sidRPr="00426DCD">
        <w:rPr>
          <w:rFonts w:asciiTheme="minorHAnsi" w:hAnsiTheme="minorHAnsi" w:cstheme="minorHAnsi"/>
          <w:sz w:val="22"/>
          <w:szCs w:val="22"/>
        </w:rPr>
        <w:t xml:space="preserve">Skin cancer is the most common form of cancer in Northern Ireland.  There are </w:t>
      </w:r>
      <w:r w:rsidR="00137E3D">
        <w:rPr>
          <w:rFonts w:asciiTheme="minorHAnsi" w:hAnsiTheme="minorHAnsi" w:cstheme="minorHAnsi"/>
          <w:sz w:val="22"/>
          <w:szCs w:val="22"/>
        </w:rPr>
        <w:t>over 3,000</w:t>
      </w:r>
      <w:r w:rsidRPr="00426DCD">
        <w:rPr>
          <w:rFonts w:asciiTheme="minorHAnsi" w:hAnsiTheme="minorHAnsi" w:cstheme="minorHAnsi"/>
          <w:sz w:val="22"/>
          <w:szCs w:val="22"/>
        </w:rPr>
        <w:t xml:space="preserve"> new cases diagnosed annually – around </w:t>
      </w:r>
      <w:r>
        <w:rPr>
          <w:rFonts w:asciiTheme="minorHAnsi" w:hAnsiTheme="minorHAnsi" w:cstheme="minorHAnsi"/>
          <w:sz w:val="22"/>
          <w:szCs w:val="22"/>
        </w:rPr>
        <w:t>8%</w:t>
      </w:r>
      <w:r w:rsidRPr="00426DCD">
        <w:rPr>
          <w:rFonts w:asciiTheme="minorHAnsi" w:hAnsiTheme="minorHAnsi" w:cstheme="minorHAnsi"/>
          <w:sz w:val="22"/>
          <w:szCs w:val="22"/>
        </w:rPr>
        <w:t xml:space="preserve"> of which are malignant melanoma, the most serious form of skin cancer.  There are many factors involved: the significant rise in people travelling on foreign holidays; more leisure time being spent outdoors; and the use of sunbeds to name but a few.  </w:t>
      </w:r>
    </w:p>
    <w:p w:rsidR="00046884" w:rsidRPr="009B1C0F" w:rsidRDefault="00E16AF0" w:rsidP="00B51E2F">
      <w:pPr>
        <w:tabs>
          <w:tab w:val="center" w:pos="4075"/>
        </w:tabs>
        <w:autoSpaceDE w:val="0"/>
        <w:autoSpaceDN w:val="0"/>
        <w:adjustRightInd w:val="0"/>
        <w:spacing w:after="120" w:line="288" w:lineRule="auto"/>
        <w:rPr>
          <w:rFonts w:ascii="Calibri" w:hAnsi="Calibri" w:cs="Calibri"/>
          <w:sz w:val="22"/>
          <w:szCs w:val="22"/>
        </w:rPr>
      </w:pPr>
      <w:r w:rsidRPr="00426DCD">
        <w:rPr>
          <w:rFonts w:asciiTheme="minorHAnsi" w:hAnsiTheme="minorHAnsi" w:cstheme="minorHAnsi"/>
          <w:sz w:val="22"/>
          <w:szCs w:val="22"/>
        </w:rPr>
        <w:t xml:space="preserve">In light of this, the Department launched </w:t>
      </w:r>
      <w:r w:rsidR="00137E3D">
        <w:rPr>
          <w:rFonts w:asciiTheme="minorHAnsi" w:hAnsiTheme="minorHAnsi" w:cstheme="minorHAnsi"/>
          <w:sz w:val="22"/>
          <w:szCs w:val="22"/>
        </w:rPr>
        <w:t xml:space="preserve">its </w:t>
      </w:r>
      <w:r w:rsidR="00E8371A">
        <w:rPr>
          <w:rFonts w:asciiTheme="minorHAnsi" w:hAnsiTheme="minorHAnsi" w:cstheme="minorHAnsi"/>
          <w:sz w:val="22"/>
          <w:szCs w:val="22"/>
        </w:rPr>
        <w:t>‘</w:t>
      </w:r>
      <w:r w:rsidRPr="00426DCD">
        <w:rPr>
          <w:rFonts w:asciiTheme="minorHAnsi" w:hAnsiTheme="minorHAnsi" w:cstheme="minorHAnsi"/>
          <w:sz w:val="22"/>
          <w:szCs w:val="22"/>
        </w:rPr>
        <w:t>Skin Cancer Prevention Strategy and Action Plan 2011-2021</w:t>
      </w:r>
      <w:r w:rsidR="00E8371A">
        <w:rPr>
          <w:rFonts w:asciiTheme="minorHAnsi" w:hAnsiTheme="minorHAnsi" w:cstheme="minorHAnsi"/>
          <w:sz w:val="22"/>
          <w:szCs w:val="22"/>
        </w:rPr>
        <w:t xml:space="preserve">’ which </w:t>
      </w:r>
      <w:r w:rsidRPr="00426DCD">
        <w:rPr>
          <w:rFonts w:asciiTheme="minorHAnsi" w:hAnsiTheme="minorHAnsi" w:cstheme="minorHAnsi"/>
          <w:sz w:val="22"/>
          <w:szCs w:val="22"/>
        </w:rPr>
        <w:t xml:space="preserve">aims to </w:t>
      </w:r>
      <w:r>
        <w:rPr>
          <w:rFonts w:asciiTheme="minorHAnsi" w:hAnsiTheme="minorHAnsi" w:cstheme="minorHAnsi"/>
          <w:sz w:val="22"/>
          <w:szCs w:val="22"/>
        </w:rPr>
        <w:t>increase public</w:t>
      </w:r>
      <w:r w:rsidR="00E8371A">
        <w:rPr>
          <w:rFonts w:asciiTheme="minorHAnsi" w:hAnsiTheme="minorHAnsi" w:cstheme="minorHAnsi"/>
          <w:sz w:val="22"/>
          <w:szCs w:val="22"/>
        </w:rPr>
        <w:t xml:space="preserve"> awareness</w:t>
      </w:r>
      <w:r w:rsidRPr="00426DCD">
        <w:rPr>
          <w:rFonts w:asciiTheme="minorHAnsi" w:hAnsiTheme="minorHAnsi" w:cstheme="minorHAnsi"/>
          <w:sz w:val="22"/>
          <w:szCs w:val="22"/>
        </w:rPr>
        <w:t xml:space="preserve"> </w:t>
      </w:r>
      <w:r>
        <w:rPr>
          <w:rFonts w:asciiTheme="minorHAnsi" w:hAnsiTheme="minorHAnsi" w:cstheme="minorHAnsi"/>
          <w:sz w:val="22"/>
          <w:szCs w:val="22"/>
        </w:rPr>
        <w:t>as</w:t>
      </w:r>
      <w:r w:rsidRPr="00426DCD">
        <w:rPr>
          <w:rFonts w:asciiTheme="minorHAnsi" w:hAnsiTheme="minorHAnsi" w:cstheme="minorHAnsi"/>
          <w:sz w:val="22"/>
          <w:szCs w:val="22"/>
        </w:rPr>
        <w:t xml:space="preserve"> early detection </w:t>
      </w:r>
      <w:r>
        <w:rPr>
          <w:rFonts w:asciiTheme="minorHAnsi" w:hAnsiTheme="minorHAnsi" w:cstheme="minorHAnsi"/>
          <w:sz w:val="22"/>
          <w:szCs w:val="22"/>
        </w:rPr>
        <w:t>is a</w:t>
      </w:r>
      <w:r w:rsidRPr="00426DCD">
        <w:rPr>
          <w:rFonts w:asciiTheme="minorHAnsi" w:hAnsiTheme="minorHAnsi" w:cstheme="minorHAnsi"/>
          <w:sz w:val="22"/>
          <w:szCs w:val="22"/>
        </w:rPr>
        <w:t xml:space="preserve"> key </w:t>
      </w:r>
      <w:r>
        <w:rPr>
          <w:rFonts w:asciiTheme="minorHAnsi" w:hAnsiTheme="minorHAnsi" w:cstheme="minorHAnsi"/>
          <w:sz w:val="22"/>
          <w:szCs w:val="22"/>
        </w:rPr>
        <w:t>factor in</w:t>
      </w:r>
      <w:r w:rsidRPr="00426DCD">
        <w:rPr>
          <w:rFonts w:asciiTheme="minorHAnsi" w:hAnsiTheme="minorHAnsi" w:cstheme="minorHAnsi"/>
          <w:sz w:val="22"/>
          <w:szCs w:val="22"/>
        </w:rPr>
        <w:t xml:space="preserve"> bring</w:t>
      </w:r>
      <w:r>
        <w:rPr>
          <w:rFonts w:asciiTheme="minorHAnsi" w:hAnsiTheme="minorHAnsi" w:cstheme="minorHAnsi"/>
          <w:sz w:val="22"/>
          <w:szCs w:val="22"/>
        </w:rPr>
        <w:t>ing</w:t>
      </w:r>
      <w:r w:rsidRPr="00426DCD">
        <w:rPr>
          <w:rFonts w:asciiTheme="minorHAnsi" w:hAnsiTheme="minorHAnsi" w:cstheme="minorHAnsi"/>
          <w:sz w:val="22"/>
          <w:szCs w:val="22"/>
        </w:rPr>
        <w:t xml:space="preserve"> down mortality rates.</w:t>
      </w:r>
      <w:r w:rsidR="00E8371A">
        <w:rPr>
          <w:rFonts w:asciiTheme="minorHAnsi" w:hAnsiTheme="minorHAnsi" w:cstheme="minorHAnsi"/>
          <w:sz w:val="22"/>
          <w:szCs w:val="22"/>
        </w:rPr>
        <w:t xml:space="preserve">  </w:t>
      </w:r>
      <w:r w:rsidR="00046884" w:rsidRPr="009B1C0F">
        <w:rPr>
          <w:rFonts w:ascii="Calibri" w:hAnsi="Calibri" w:cs="Calibri"/>
          <w:sz w:val="22"/>
          <w:szCs w:val="22"/>
        </w:rPr>
        <w:t xml:space="preserve">Respondents were </w:t>
      </w:r>
      <w:r w:rsidR="00E8371A">
        <w:rPr>
          <w:rFonts w:ascii="Calibri" w:hAnsi="Calibri" w:cs="Calibri"/>
          <w:sz w:val="22"/>
          <w:szCs w:val="22"/>
        </w:rPr>
        <w:t xml:space="preserve">therefore </w:t>
      </w:r>
      <w:r w:rsidR="00046884" w:rsidRPr="009B1C0F">
        <w:rPr>
          <w:rFonts w:ascii="Calibri" w:hAnsi="Calibri" w:cs="Calibri"/>
          <w:sz w:val="22"/>
          <w:szCs w:val="22"/>
        </w:rPr>
        <w:t>asked a number of questions on sun protection</w:t>
      </w:r>
      <w:r w:rsidR="00E8371A">
        <w:rPr>
          <w:rFonts w:ascii="Calibri" w:hAnsi="Calibri" w:cs="Calibri"/>
          <w:sz w:val="22"/>
          <w:szCs w:val="22"/>
        </w:rPr>
        <w:t xml:space="preserve"> measures, sunburn, opinion on having a suntan</w:t>
      </w:r>
      <w:r w:rsidR="00F41605">
        <w:rPr>
          <w:rFonts w:ascii="Calibri" w:hAnsi="Calibri" w:cs="Calibri"/>
          <w:sz w:val="22"/>
          <w:szCs w:val="22"/>
        </w:rPr>
        <w:t>, checking their skin for signs of skin cancer</w:t>
      </w:r>
      <w:r w:rsidR="00046884" w:rsidRPr="009B1C0F">
        <w:rPr>
          <w:rFonts w:ascii="Calibri" w:hAnsi="Calibri" w:cs="Calibri"/>
          <w:sz w:val="22"/>
          <w:szCs w:val="22"/>
        </w:rPr>
        <w:t xml:space="preserve"> </w:t>
      </w:r>
      <w:r w:rsidR="00E8371A">
        <w:rPr>
          <w:rFonts w:ascii="Calibri" w:hAnsi="Calibri" w:cs="Calibri"/>
          <w:sz w:val="22"/>
          <w:szCs w:val="22"/>
        </w:rPr>
        <w:t xml:space="preserve">and their </w:t>
      </w:r>
      <w:r w:rsidR="00046884" w:rsidRPr="009B1C0F">
        <w:rPr>
          <w:rFonts w:ascii="Calibri" w:hAnsi="Calibri" w:cs="Calibri"/>
          <w:sz w:val="22"/>
          <w:szCs w:val="22"/>
        </w:rPr>
        <w:t xml:space="preserve">use of sunbeds. </w:t>
      </w:r>
    </w:p>
    <w:p w:rsidR="00E16AF0" w:rsidRPr="00361E62" w:rsidRDefault="00E16AF0" w:rsidP="00361E62">
      <w:pPr>
        <w:tabs>
          <w:tab w:val="left" w:pos="-180"/>
        </w:tabs>
        <w:suppressAutoHyphens/>
        <w:spacing w:before="36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Sun Protection Measures Taken</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The most common measures taken by respondents to protect against sunburn were using sunscreen (68%), followed by wearing a hat (30%), staying in the shade (22%), covering up (21%) and avoiding the midday sun (19%).  Just 5% of respondents said that they would check their skin regularly.</w:t>
      </w:r>
    </w:p>
    <w:p w:rsidR="00BA7B1A"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Females were more likely than males to use measures to protect themselves against sunburn such as using </w:t>
      </w:r>
      <w:r w:rsidR="00BA7B1A">
        <w:rPr>
          <w:rFonts w:asciiTheme="minorHAnsi" w:hAnsiTheme="minorHAnsi" w:cstheme="minorHAnsi"/>
          <w:sz w:val="22"/>
          <w:szCs w:val="22"/>
        </w:rPr>
        <w:t xml:space="preserve">a </w:t>
      </w:r>
      <w:r>
        <w:rPr>
          <w:rFonts w:asciiTheme="minorHAnsi" w:hAnsiTheme="minorHAnsi" w:cstheme="minorHAnsi"/>
          <w:sz w:val="22"/>
          <w:szCs w:val="22"/>
        </w:rPr>
        <w:t xml:space="preserve">sunscreen, staying in the shade, avoiding the midday sun and checking their skin regularly.  Males however were more likely than females to wear a hat.  </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Over a fifth of males (21%) and 9% of females took no measures to protect themselves against sunburn.</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7D51CB">
        <w:rPr>
          <w:rFonts w:asciiTheme="minorHAnsi" w:hAnsiTheme="minorHAnsi" w:cstheme="minorHAnsi"/>
          <w:noProof/>
          <w:sz w:val="22"/>
          <w:szCs w:val="22"/>
          <w:lang w:val="en-IE" w:eastAsia="en-IE"/>
        </w:rPr>
        <w:lastRenderedPageBreak/>
        <w:drawing>
          <wp:inline distT="0" distB="0" distL="0" distR="0">
            <wp:extent cx="4392000" cy="2590800"/>
            <wp:effectExtent l="0" t="0" r="0" b="0"/>
            <wp:docPr id="9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16AF0" w:rsidRDefault="00E16AF0" w:rsidP="00361E62">
      <w:pPr>
        <w:tabs>
          <w:tab w:val="center" w:pos="4075"/>
        </w:tabs>
        <w:autoSpaceDE w:val="0"/>
        <w:autoSpaceDN w:val="0"/>
        <w:adjustRightInd w:val="0"/>
        <w:spacing w:before="240" w:after="240" w:line="288" w:lineRule="auto"/>
        <w:rPr>
          <w:rFonts w:asciiTheme="minorHAnsi" w:hAnsiTheme="minorHAnsi" w:cstheme="minorHAnsi"/>
          <w:sz w:val="22"/>
          <w:szCs w:val="22"/>
        </w:rPr>
      </w:pPr>
      <w:r>
        <w:rPr>
          <w:rFonts w:asciiTheme="minorHAnsi" w:hAnsiTheme="minorHAnsi" w:cstheme="minorHAnsi"/>
          <w:sz w:val="22"/>
          <w:szCs w:val="22"/>
        </w:rPr>
        <w:t xml:space="preserve">Those in the least deprived areas were more likely than those in the most deprived areas to use sunscreen, wear a hat, stay in the shade, cover up or avoid the midday sun.  A fifth of those in the most deprived areas (20%) took no protective measures to protect themselves against sunburn. </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2E0996">
        <w:rPr>
          <w:rFonts w:asciiTheme="minorHAnsi" w:hAnsiTheme="minorHAnsi" w:cstheme="minorHAnsi"/>
          <w:noProof/>
          <w:sz w:val="22"/>
          <w:szCs w:val="22"/>
          <w:lang w:val="en-IE" w:eastAsia="en-IE"/>
        </w:rPr>
        <w:drawing>
          <wp:inline distT="0" distB="0" distL="0" distR="0">
            <wp:extent cx="4392000" cy="2590800"/>
            <wp:effectExtent l="19050" t="0" r="0" b="0"/>
            <wp:docPr id="10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16AF0" w:rsidRPr="00361E62" w:rsidRDefault="00E16AF0" w:rsidP="00361E62">
      <w:pPr>
        <w:tabs>
          <w:tab w:val="left" w:pos="-180"/>
        </w:tabs>
        <w:suppressAutoHyphens/>
        <w:spacing w:before="12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lastRenderedPageBreak/>
        <w:t>Use of Sunscreen</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Those who stated that they used sunscreen for protection against sunburn were asked further questions about when they would use sunscreen and about the sun protection factor of the sunscreen they used.</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Four-fifths of respondents (79%) said that they use sunscreen while sunbathing abroad in a warm country, while two-thirds (67%) said they use s</w:t>
      </w:r>
      <w:r w:rsidRPr="005D06D1">
        <w:rPr>
          <w:rFonts w:asciiTheme="minorHAnsi" w:hAnsiTheme="minorHAnsi" w:cstheme="minorHAnsi"/>
          <w:sz w:val="22"/>
          <w:szCs w:val="22"/>
        </w:rPr>
        <w:t>unscreen while outdoors abroad but not sunbathing</w:t>
      </w:r>
      <w:r>
        <w:rPr>
          <w:rFonts w:asciiTheme="minorHAnsi" w:hAnsiTheme="minorHAnsi" w:cstheme="minorHAnsi"/>
          <w:sz w:val="22"/>
          <w:szCs w:val="22"/>
        </w:rPr>
        <w:t>.  Three-fifths of respondents (59%) said they use</w:t>
      </w:r>
      <w:r w:rsidRPr="005D06D1">
        <w:rPr>
          <w:rFonts w:asciiTheme="minorHAnsi" w:hAnsiTheme="minorHAnsi" w:cstheme="minorHAnsi"/>
          <w:sz w:val="22"/>
          <w:szCs w:val="22"/>
        </w:rPr>
        <w:t xml:space="preserve"> </w:t>
      </w:r>
      <w:r>
        <w:rPr>
          <w:rFonts w:asciiTheme="minorHAnsi" w:hAnsiTheme="minorHAnsi" w:cstheme="minorHAnsi"/>
          <w:sz w:val="22"/>
          <w:szCs w:val="22"/>
        </w:rPr>
        <w:t>sunscreen while sunbathing in this country and half (51%) said they use s</w:t>
      </w:r>
      <w:r w:rsidRPr="005D06D1">
        <w:rPr>
          <w:rFonts w:asciiTheme="minorHAnsi" w:hAnsiTheme="minorHAnsi" w:cstheme="minorHAnsi"/>
          <w:sz w:val="22"/>
          <w:szCs w:val="22"/>
        </w:rPr>
        <w:t xml:space="preserve">unscreen while outdoors </w:t>
      </w:r>
      <w:r>
        <w:rPr>
          <w:rFonts w:asciiTheme="minorHAnsi" w:hAnsiTheme="minorHAnsi" w:cstheme="minorHAnsi"/>
          <w:sz w:val="22"/>
          <w:szCs w:val="22"/>
        </w:rPr>
        <w:t xml:space="preserve">in this country </w:t>
      </w:r>
      <w:r w:rsidRPr="005D06D1">
        <w:rPr>
          <w:rFonts w:asciiTheme="minorHAnsi" w:hAnsiTheme="minorHAnsi" w:cstheme="minorHAnsi"/>
          <w:sz w:val="22"/>
          <w:szCs w:val="22"/>
        </w:rPr>
        <w:t>but not sunbathing</w:t>
      </w:r>
      <w:r>
        <w:rPr>
          <w:rFonts w:asciiTheme="minorHAnsi" w:hAnsiTheme="minorHAnsi" w:cstheme="minorHAnsi"/>
          <w:sz w:val="22"/>
          <w:szCs w:val="22"/>
        </w:rPr>
        <w:t>.</w:t>
      </w:r>
    </w:p>
    <w:p w:rsidR="00E16AF0" w:rsidRDefault="00E16AF0" w:rsidP="008A7352">
      <w:pPr>
        <w:tabs>
          <w:tab w:val="center" w:pos="4075"/>
        </w:tabs>
        <w:autoSpaceDE w:val="0"/>
        <w:autoSpaceDN w:val="0"/>
        <w:adjustRightInd w:val="0"/>
        <w:spacing w:after="240" w:line="288" w:lineRule="auto"/>
        <w:rPr>
          <w:rFonts w:asciiTheme="minorHAnsi" w:hAnsiTheme="minorHAnsi" w:cstheme="minorHAnsi"/>
          <w:sz w:val="22"/>
          <w:szCs w:val="22"/>
        </w:rPr>
      </w:pPr>
      <w:r>
        <w:rPr>
          <w:rFonts w:asciiTheme="minorHAnsi" w:hAnsiTheme="minorHAnsi" w:cstheme="minorHAnsi"/>
          <w:sz w:val="22"/>
          <w:szCs w:val="22"/>
        </w:rPr>
        <w:t>Use of sunscreen while sunbathing and enjoying time outdoors abroad was similar for both males and females.  However, females (64%) were more likely than males (50%) to use a sunscreen while sunbathing in this country.  This was also true for enjoying time outdoors in this country (54% of females compared with 46% of males).</w:t>
      </w:r>
    </w:p>
    <w:p w:rsidR="00E16AF0" w:rsidRDefault="00E16AF0" w:rsidP="008A7352">
      <w:pPr>
        <w:tabs>
          <w:tab w:val="center" w:pos="4075"/>
        </w:tabs>
        <w:autoSpaceDE w:val="0"/>
        <w:autoSpaceDN w:val="0"/>
        <w:adjustRightInd w:val="0"/>
        <w:spacing w:before="240" w:after="120" w:line="288" w:lineRule="auto"/>
        <w:rPr>
          <w:rFonts w:asciiTheme="minorHAnsi" w:hAnsiTheme="minorHAnsi" w:cstheme="minorHAnsi"/>
          <w:sz w:val="22"/>
          <w:szCs w:val="22"/>
        </w:rPr>
      </w:pPr>
      <w:r w:rsidRPr="00AD452A">
        <w:rPr>
          <w:rFonts w:asciiTheme="minorHAnsi" w:hAnsiTheme="minorHAnsi" w:cstheme="minorHAnsi"/>
          <w:noProof/>
          <w:sz w:val="22"/>
          <w:szCs w:val="22"/>
          <w:lang w:val="en-IE" w:eastAsia="en-IE"/>
        </w:rPr>
        <w:drawing>
          <wp:inline distT="0" distB="0" distL="0" distR="0">
            <wp:extent cx="4320000" cy="2524125"/>
            <wp:effectExtent l="19050" t="0" r="0" b="0"/>
            <wp:docPr id="1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AD452A">
        <w:rPr>
          <w:rFonts w:asciiTheme="minorHAnsi" w:hAnsiTheme="minorHAnsi" w:cstheme="minorHAnsi"/>
          <w:sz w:val="22"/>
          <w:szCs w:val="22"/>
        </w:rPr>
        <w:t xml:space="preserve"> </w:t>
      </w:r>
      <w:r>
        <w:rPr>
          <w:rFonts w:asciiTheme="minorHAnsi" w:hAnsiTheme="minorHAnsi" w:cstheme="minorHAnsi"/>
          <w:sz w:val="22"/>
          <w:szCs w:val="22"/>
        </w:rPr>
        <w:t>Almost a third of respondents (31%) stated that they used a sunscreen both at home and abroad while either sunbathing and/or outdoors not sunbathing.  A further 26% stated that they only use sunscreen while abroad either sunbathing and/or outdoors.</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Four-fifths of respondents (81%) used sunscreen which had a sun protection factor of at least 15.  Males (20%) were more inclined to use sunscreen with a sun protection factor of less than 15</w:t>
      </w:r>
      <w:r w:rsidRPr="00A57613">
        <w:rPr>
          <w:rFonts w:asciiTheme="minorHAnsi" w:hAnsiTheme="minorHAnsi" w:cstheme="minorHAnsi"/>
          <w:sz w:val="22"/>
          <w:szCs w:val="22"/>
        </w:rPr>
        <w:t xml:space="preserve"> </w:t>
      </w:r>
      <w:r>
        <w:rPr>
          <w:rFonts w:asciiTheme="minorHAnsi" w:hAnsiTheme="minorHAnsi" w:cstheme="minorHAnsi"/>
          <w:sz w:val="22"/>
          <w:szCs w:val="22"/>
        </w:rPr>
        <w:t>than females (14%).</w:t>
      </w:r>
    </w:p>
    <w:p w:rsidR="00E16AF0" w:rsidRPr="00361E62" w:rsidRDefault="00E16AF0" w:rsidP="008A7352">
      <w:pPr>
        <w:tabs>
          <w:tab w:val="left" w:pos="-180"/>
        </w:tabs>
        <w:suppressAutoHyphens/>
        <w:spacing w:before="360" w:after="6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Sunburn In the Last Year</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Four-fifths of respondents (80%) did not experience any sunburn over the year prior to being surveyed.  </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Males were slightly more likely to have experienced sunburn at least once in the preceding year (21%) than females (18%).</w:t>
      </w:r>
    </w:p>
    <w:p w:rsidR="00BA7B1A" w:rsidRPr="00F41605" w:rsidRDefault="00E16AF0" w:rsidP="008A7352">
      <w:pPr>
        <w:tabs>
          <w:tab w:val="center" w:pos="4075"/>
        </w:tabs>
        <w:autoSpaceDE w:val="0"/>
        <w:autoSpaceDN w:val="0"/>
        <w:adjustRightInd w:val="0"/>
        <w:spacing w:after="240" w:line="288" w:lineRule="auto"/>
        <w:rPr>
          <w:rFonts w:asciiTheme="minorHAnsi" w:hAnsiTheme="minorHAnsi" w:cstheme="minorHAnsi"/>
          <w:sz w:val="22"/>
          <w:szCs w:val="22"/>
        </w:rPr>
      </w:pPr>
      <w:r>
        <w:rPr>
          <w:rFonts w:asciiTheme="minorHAnsi" w:hAnsiTheme="minorHAnsi" w:cstheme="minorHAnsi"/>
          <w:sz w:val="22"/>
          <w:szCs w:val="22"/>
        </w:rPr>
        <w:t>Younger respondents were also more likely to have experienced sunburn at least once in the preceding year than older respondents with 43% of those in the 16-24 age-group having been sunburnt at least once in comparison with just 2% of those in the 75+ age-group.</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9A707C">
        <w:rPr>
          <w:rFonts w:asciiTheme="minorHAnsi" w:hAnsiTheme="minorHAnsi" w:cstheme="minorHAnsi"/>
          <w:noProof/>
          <w:sz w:val="22"/>
          <w:szCs w:val="22"/>
          <w:lang w:val="en-IE" w:eastAsia="en-IE"/>
        </w:rPr>
        <w:drawing>
          <wp:inline distT="0" distB="0" distL="0" distR="0">
            <wp:extent cx="4324350" cy="2880000"/>
            <wp:effectExtent l="19050" t="0" r="0" b="0"/>
            <wp:docPr id="10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16AF0" w:rsidRPr="00361E62" w:rsidRDefault="00E16AF0" w:rsidP="008A7352">
      <w:pPr>
        <w:tabs>
          <w:tab w:val="left" w:pos="-180"/>
        </w:tabs>
        <w:suppressAutoHyphens/>
        <w:spacing w:before="12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Opinion on Having a Suntan</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Almost half of respondents felt that having a suntan made them feel healthier (45%) and made them look more attractive (46%).</w:t>
      </w:r>
    </w:p>
    <w:p w:rsidR="00E16AF0" w:rsidRPr="00361E62" w:rsidRDefault="00E16AF0" w:rsidP="008A7352">
      <w:pPr>
        <w:tabs>
          <w:tab w:val="left" w:pos="-180"/>
        </w:tabs>
        <w:suppressAutoHyphens/>
        <w:spacing w:before="24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 xml:space="preserve">Checking Skin for Signs Which Could Indicate Cancer </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Over a third of respondents (35%) stated that they never checked their skin for changes which could indicate skin cancer.  A quarter of respondents (26%) said that they checked their skin at least once a month, while a fifth (19%) said that if they spotted something they would keep watching it.</w:t>
      </w:r>
    </w:p>
    <w:p w:rsidR="008A7352" w:rsidRDefault="008A7352" w:rsidP="008A7352">
      <w:pPr>
        <w:pStyle w:val="Heading2"/>
        <w:spacing w:before="0" w:after="120"/>
        <w:rPr>
          <w:rFonts w:asciiTheme="minorHAnsi" w:hAnsiTheme="minorHAnsi" w:cstheme="minorHAnsi"/>
          <w:color w:val="CC3300"/>
          <w:sz w:val="24"/>
          <w:szCs w:val="24"/>
        </w:rPr>
      </w:pPr>
      <w:bookmarkStart w:id="49" w:name="_Ref381945862"/>
    </w:p>
    <w:p w:rsidR="008A7352" w:rsidRDefault="008A7352" w:rsidP="008A7352">
      <w:pPr>
        <w:pStyle w:val="Heading2"/>
        <w:spacing w:before="0" w:after="120"/>
        <w:rPr>
          <w:rFonts w:asciiTheme="minorHAnsi" w:hAnsiTheme="minorHAnsi" w:cstheme="minorHAnsi"/>
          <w:color w:val="CC3300"/>
          <w:sz w:val="24"/>
          <w:szCs w:val="24"/>
        </w:rPr>
      </w:pPr>
    </w:p>
    <w:p w:rsidR="00E16AF0" w:rsidRPr="00361E62" w:rsidRDefault="00E16AF0" w:rsidP="008A7352">
      <w:pPr>
        <w:pStyle w:val="Heading2"/>
        <w:spacing w:before="0" w:after="120"/>
        <w:rPr>
          <w:rFonts w:asciiTheme="minorHAnsi" w:hAnsiTheme="minorHAnsi" w:cstheme="minorHAnsi"/>
          <w:color w:val="CC3300"/>
          <w:sz w:val="24"/>
          <w:szCs w:val="24"/>
        </w:rPr>
      </w:pPr>
      <w:r w:rsidRPr="00361E62">
        <w:rPr>
          <w:rFonts w:asciiTheme="minorHAnsi" w:hAnsiTheme="minorHAnsi" w:cstheme="minorHAnsi"/>
          <w:color w:val="CC3300"/>
          <w:sz w:val="24"/>
          <w:szCs w:val="24"/>
        </w:rPr>
        <w:t>Sunbeds</w:t>
      </w:r>
      <w:bookmarkEnd w:id="49"/>
    </w:p>
    <w:p w:rsidR="00E16AF0" w:rsidRPr="00361E62" w:rsidRDefault="00E16AF0" w:rsidP="008A7352">
      <w:pPr>
        <w:tabs>
          <w:tab w:val="left" w:pos="-180"/>
        </w:tabs>
        <w:suppressAutoHyphens/>
        <w:spacing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Use of Sunbeds</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sidRPr="00585CBD">
        <w:rPr>
          <w:rFonts w:asciiTheme="minorHAnsi" w:hAnsiTheme="minorHAnsi" w:cstheme="minorHAnsi"/>
          <w:sz w:val="22"/>
          <w:szCs w:val="22"/>
        </w:rPr>
        <w:t xml:space="preserve">Over two-thirds of respondents (68%) stated that they had never used a sunbed and that they never would use one.  Just 3% of females and 1% of males currently use sunbeds, while 29% of females and 10% of males stated that they had used a sunbed in the past. </w:t>
      </w:r>
    </w:p>
    <w:p w:rsidR="00E16AF0" w:rsidRPr="000B06A5"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Two-thirds of those who had used sunbeds had less than ten sessions per year.  A third of those who had used sunbeds used them for up to five minutes per session, while two-fifths used them between six and ten minutes per session.</w:t>
      </w:r>
    </w:p>
    <w:p w:rsidR="00E16AF0" w:rsidRPr="00361E62" w:rsidRDefault="00E16AF0" w:rsidP="008A7352">
      <w:pPr>
        <w:tabs>
          <w:tab w:val="left" w:pos="-180"/>
        </w:tabs>
        <w:suppressAutoHyphens/>
        <w:spacing w:before="24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Opinion on Who Should Not Use Sunbeds</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Almost all respondents agreed that c</w:t>
      </w:r>
      <w:r w:rsidRPr="006D0524">
        <w:rPr>
          <w:rFonts w:asciiTheme="minorHAnsi" w:hAnsiTheme="minorHAnsi" w:cstheme="minorHAnsi"/>
          <w:sz w:val="22"/>
          <w:szCs w:val="22"/>
        </w:rPr>
        <w:t>hildren under 10</w:t>
      </w:r>
      <w:r>
        <w:rPr>
          <w:rFonts w:asciiTheme="minorHAnsi" w:hAnsiTheme="minorHAnsi" w:cstheme="minorHAnsi"/>
          <w:sz w:val="22"/>
          <w:szCs w:val="22"/>
        </w:rPr>
        <w:t xml:space="preserve"> (</w:t>
      </w:r>
      <w:r w:rsidRPr="006D0524">
        <w:rPr>
          <w:rFonts w:asciiTheme="minorHAnsi" w:hAnsiTheme="minorHAnsi" w:cstheme="minorHAnsi"/>
          <w:sz w:val="22"/>
          <w:szCs w:val="22"/>
        </w:rPr>
        <w:t>95</w:t>
      </w:r>
      <w:r>
        <w:rPr>
          <w:rFonts w:asciiTheme="minorHAnsi" w:hAnsiTheme="minorHAnsi" w:cstheme="minorHAnsi"/>
          <w:sz w:val="22"/>
          <w:szCs w:val="22"/>
        </w:rPr>
        <w:t>%),</w:t>
      </w:r>
      <w:r w:rsidRPr="006D0524">
        <w:rPr>
          <w:rFonts w:asciiTheme="minorHAnsi" w:hAnsiTheme="minorHAnsi" w:cstheme="minorHAnsi"/>
          <w:sz w:val="22"/>
          <w:szCs w:val="22"/>
        </w:rPr>
        <w:t xml:space="preserve"> </w:t>
      </w:r>
      <w:r>
        <w:rPr>
          <w:rFonts w:asciiTheme="minorHAnsi" w:hAnsiTheme="minorHAnsi" w:cstheme="minorHAnsi"/>
          <w:sz w:val="22"/>
          <w:szCs w:val="22"/>
        </w:rPr>
        <w:t>y</w:t>
      </w:r>
      <w:r w:rsidRPr="006D0524">
        <w:rPr>
          <w:rFonts w:asciiTheme="minorHAnsi" w:hAnsiTheme="minorHAnsi" w:cstheme="minorHAnsi"/>
          <w:sz w:val="22"/>
          <w:szCs w:val="22"/>
        </w:rPr>
        <w:t xml:space="preserve">oung </w:t>
      </w:r>
      <w:r>
        <w:rPr>
          <w:rFonts w:asciiTheme="minorHAnsi" w:hAnsiTheme="minorHAnsi" w:cstheme="minorHAnsi"/>
          <w:sz w:val="22"/>
          <w:szCs w:val="22"/>
        </w:rPr>
        <w:t>p</w:t>
      </w:r>
      <w:r w:rsidRPr="006D0524">
        <w:rPr>
          <w:rFonts w:asciiTheme="minorHAnsi" w:hAnsiTheme="minorHAnsi" w:cstheme="minorHAnsi"/>
          <w:sz w:val="22"/>
          <w:szCs w:val="22"/>
        </w:rPr>
        <w:t>eople under 18</w:t>
      </w:r>
      <w:r>
        <w:rPr>
          <w:rFonts w:asciiTheme="minorHAnsi" w:hAnsiTheme="minorHAnsi" w:cstheme="minorHAnsi"/>
          <w:sz w:val="22"/>
          <w:szCs w:val="22"/>
        </w:rPr>
        <w:t xml:space="preserve"> (</w:t>
      </w:r>
      <w:r w:rsidRPr="006D0524">
        <w:rPr>
          <w:rFonts w:asciiTheme="minorHAnsi" w:hAnsiTheme="minorHAnsi" w:cstheme="minorHAnsi"/>
          <w:sz w:val="22"/>
          <w:szCs w:val="22"/>
        </w:rPr>
        <w:t>90</w:t>
      </w:r>
      <w:r>
        <w:rPr>
          <w:rFonts w:asciiTheme="minorHAnsi" w:hAnsiTheme="minorHAnsi" w:cstheme="minorHAnsi"/>
          <w:sz w:val="22"/>
          <w:szCs w:val="22"/>
        </w:rPr>
        <w:t>%),</w:t>
      </w:r>
      <w:r w:rsidRPr="006D0524">
        <w:rPr>
          <w:rFonts w:asciiTheme="minorHAnsi" w:hAnsiTheme="minorHAnsi" w:cstheme="minorHAnsi"/>
          <w:sz w:val="22"/>
          <w:szCs w:val="22"/>
        </w:rPr>
        <w:t xml:space="preserve"> </w:t>
      </w:r>
      <w:r>
        <w:rPr>
          <w:rFonts w:asciiTheme="minorHAnsi" w:hAnsiTheme="minorHAnsi" w:cstheme="minorHAnsi"/>
          <w:sz w:val="22"/>
          <w:szCs w:val="22"/>
        </w:rPr>
        <w:t>p</w:t>
      </w:r>
      <w:r w:rsidRPr="006D0524">
        <w:rPr>
          <w:rFonts w:asciiTheme="minorHAnsi" w:hAnsiTheme="minorHAnsi" w:cstheme="minorHAnsi"/>
          <w:sz w:val="22"/>
          <w:szCs w:val="22"/>
        </w:rPr>
        <w:t>eople with a family history of skin cancer</w:t>
      </w:r>
      <w:r>
        <w:rPr>
          <w:rFonts w:asciiTheme="minorHAnsi" w:hAnsiTheme="minorHAnsi" w:cstheme="minorHAnsi"/>
          <w:sz w:val="22"/>
          <w:szCs w:val="22"/>
        </w:rPr>
        <w:t xml:space="preserve"> (</w:t>
      </w:r>
      <w:r w:rsidRPr="006D0524">
        <w:rPr>
          <w:rFonts w:asciiTheme="minorHAnsi" w:hAnsiTheme="minorHAnsi" w:cstheme="minorHAnsi"/>
          <w:sz w:val="22"/>
          <w:szCs w:val="22"/>
        </w:rPr>
        <w:t>89</w:t>
      </w:r>
      <w:r>
        <w:rPr>
          <w:rFonts w:asciiTheme="minorHAnsi" w:hAnsiTheme="minorHAnsi" w:cstheme="minorHAnsi"/>
          <w:sz w:val="22"/>
          <w:szCs w:val="22"/>
        </w:rPr>
        <w:t>%),</w:t>
      </w:r>
      <w:r w:rsidRPr="006D0524">
        <w:rPr>
          <w:rFonts w:asciiTheme="minorHAnsi" w:hAnsiTheme="minorHAnsi" w:cstheme="minorHAnsi"/>
          <w:sz w:val="22"/>
          <w:szCs w:val="22"/>
        </w:rPr>
        <w:t xml:space="preserve"> </w:t>
      </w:r>
      <w:r>
        <w:rPr>
          <w:rFonts w:asciiTheme="minorHAnsi" w:hAnsiTheme="minorHAnsi" w:cstheme="minorHAnsi"/>
          <w:sz w:val="22"/>
          <w:szCs w:val="22"/>
        </w:rPr>
        <w:t>p</w:t>
      </w:r>
      <w:r w:rsidRPr="006D0524">
        <w:rPr>
          <w:rFonts w:asciiTheme="minorHAnsi" w:hAnsiTheme="minorHAnsi" w:cstheme="minorHAnsi"/>
          <w:sz w:val="22"/>
          <w:szCs w:val="22"/>
        </w:rPr>
        <w:t>eople with fair sensitive skin that burns easily or tans slowly</w:t>
      </w:r>
      <w:r>
        <w:rPr>
          <w:rFonts w:asciiTheme="minorHAnsi" w:hAnsiTheme="minorHAnsi" w:cstheme="minorHAnsi"/>
          <w:sz w:val="22"/>
          <w:szCs w:val="22"/>
        </w:rPr>
        <w:t xml:space="preserve"> (</w:t>
      </w:r>
      <w:r w:rsidRPr="006D0524">
        <w:rPr>
          <w:rFonts w:asciiTheme="minorHAnsi" w:hAnsiTheme="minorHAnsi" w:cstheme="minorHAnsi"/>
          <w:sz w:val="22"/>
          <w:szCs w:val="22"/>
        </w:rPr>
        <w:t>88</w:t>
      </w:r>
      <w:r>
        <w:rPr>
          <w:rFonts w:asciiTheme="minorHAnsi" w:hAnsiTheme="minorHAnsi" w:cstheme="minorHAnsi"/>
          <w:sz w:val="22"/>
          <w:szCs w:val="22"/>
        </w:rPr>
        <w:t>%), p</w:t>
      </w:r>
      <w:r w:rsidRPr="006D0524">
        <w:rPr>
          <w:rFonts w:asciiTheme="minorHAnsi" w:hAnsiTheme="minorHAnsi" w:cstheme="minorHAnsi"/>
          <w:sz w:val="22"/>
          <w:szCs w:val="22"/>
        </w:rPr>
        <w:t>eople with a large number of moles</w:t>
      </w:r>
      <w:r>
        <w:rPr>
          <w:rFonts w:asciiTheme="minorHAnsi" w:hAnsiTheme="minorHAnsi" w:cstheme="minorHAnsi"/>
          <w:sz w:val="22"/>
          <w:szCs w:val="22"/>
        </w:rPr>
        <w:t xml:space="preserve"> (</w:t>
      </w:r>
      <w:r w:rsidRPr="006D0524">
        <w:rPr>
          <w:rFonts w:asciiTheme="minorHAnsi" w:hAnsiTheme="minorHAnsi" w:cstheme="minorHAnsi"/>
          <w:sz w:val="22"/>
          <w:szCs w:val="22"/>
        </w:rPr>
        <w:t>87</w:t>
      </w:r>
      <w:r>
        <w:rPr>
          <w:rFonts w:asciiTheme="minorHAnsi" w:hAnsiTheme="minorHAnsi" w:cstheme="minorHAnsi"/>
          <w:sz w:val="22"/>
          <w:szCs w:val="22"/>
        </w:rPr>
        <w:t>%) and p</w:t>
      </w:r>
      <w:r w:rsidRPr="006D0524">
        <w:rPr>
          <w:rFonts w:asciiTheme="minorHAnsi" w:hAnsiTheme="minorHAnsi" w:cstheme="minorHAnsi"/>
          <w:sz w:val="22"/>
          <w:szCs w:val="22"/>
        </w:rPr>
        <w:t>eople with many freckles and / or red hair</w:t>
      </w:r>
      <w:r>
        <w:rPr>
          <w:rFonts w:asciiTheme="minorHAnsi" w:hAnsiTheme="minorHAnsi" w:cstheme="minorHAnsi"/>
          <w:sz w:val="22"/>
          <w:szCs w:val="22"/>
        </w:rPr>
        <w:t xml:space="preserve"> (</w:t>
      </w:r>
      <w:r w:rsidRPr="006D0524">
        <w:rPr>
          <w:rFonts w:asciiTheme="minorHAnsi" w:hAnsiTheme="minorHAnsi" w:cstheme="minorHAnsi"/>
          <w:sz w:val="22"/>
          <w:szCs w:val="22"/>
        </w:rPr>
        <w:t>86</w:t>
      </w:r>
      <w:r>
        <w:rPr>
          <w:rFonts w:asciiTheme="minorHAnsi" w:hAnsiTheme="minorHAnsi" w:cstheme="minorHAnsi"/>
          <w:sz w:val="22"/>
          <w:szCs w:val="22"/>
        </w:rPr>
        <w:t>%) should avoid using sunbeds.  Almost three-quarters of respondents (73%) felt that no-one should use sunbeds at all.</w:t>
      </w:r>
    </w:p>
    <w:p w:rsidR="00E16AF0" w:rsidRDefault="00137E3D"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Male and female o</w:t>
      </w:r>
      <w:r w:rsidR="00E16AF0">
        <w:rPr>
          <w:rFonts w:asciiTheme="minorHAnsi" w:hAnsiTheme="minorHAnsi" w:cstheme="minorHAnsi"/>
          <w:sz w:val="22"/>
          <w:szCs w:val="22"/>
        </w:rPr>
        <w:t>pinion on who should not use sunbeds was similar.  Those respondents who were current users of sunbeds were the least likely to say that no-one should use sunbeds (15%), while those who said they would never use a sunbed were most likely to say that no-one should use sunbeds (81%).</w:t>
      </w:r>
    </w:p>
    <w:p w:rsidR="00E16AF0" w:rsidRDefault="00E16AF0" w:rsidP="008A7352">
      <w:pPr>
        <w:tabs>
          <w:tab w:val="center" w:pos="4075"/>
        </w:tabs>
        <w:autoSpaceDE w:val="0"/>
        <w:autoSpaceDN w:val="0"/>
        <w:adjustRightInd w:val="0"/>
        <w:spacing w:after="240" w:line="288" w:lineRule="auto"/>
        <w:rPr>
          <w:rFonts w:asciiTheme="minorHAnsi" w:hAnsiTheme="minorHAnsi" w:cstheme="minorHAnsi"/>
          <w:sz w:val="22"/>
          <w:szCs w:val="22"/>
        </w:rPr>
      </w:pPr>
      <w:r>
        <w:rPr>
          <w:rFonts w:asciiTheme="minorHAnsi" w:hAnsiTheme="minorHAnsi" w:cstheme="minorHAnsi"/>
          <w:sz w:val="22"/>
          <w:szCs w:val="22"/>
        </w:rPr>
        <w:t>There was little difference in the level of agreement in the most deprived (95%) and least deprived areas (96%) that children under the age of ten should not use sunbeds.   Levels of agreement in the most deprived areas were slightly lower than those in the least deprived areas that young people under the age of 18 and people with fair skin, a large number of moles, many freckles and/or red hair should avoid using sunbeds.</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62753F">
        <w:rPr>
          <w:rFonts w:asciiTheme="minorHAnsi" w:hAnsiTheme="minorHAnsi" w:cstheme="minorHAnsi"/>
          <w:noProof/>
          <w:sz w:val="22"/>
          <w:szCs w:val="22"/>
          <w:lang w:val="en-IE" w:eastAsia="en-IE"/>
        </w:rPr>
        <w:drawing>
          <wp:inline distT="0" distB="0" distL="0" distR="0">
            <wp:extent cx="4391025" cy="2952000"/>
            <wp:effectExtent l="0" t="0" r="0" b="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16AF0" w:rsidRDefault="00E16AF0" w:rsidP="008A7352">
      <w:pPr>
        <w:tabs>
          <w:tab w:val="center" w:pos="4075"/>
        </w:tabs>
        <w:autoSpaceDE w:val="0"/>
        <w:autoSpaceDN w:val="0"/>
        <w:adjustRightInd w:val="0"/>
        <w:spacing w:before="240" w:after="120" w:line="288" w:lineRule="auto"/>
        <w:rPr>
          <w:rFonts w:asciiTheme="minorHAnsi" w:hAnsiTheme="minorHAnsi" w:cstheme="minorHAnsi"/>
          <w:sz w:val="22"/>
          <w:szCs w:val="22"/>
        </w:rPr>
      </w:pPr>
      <w:r>
        <w:rPr>
          <w:rFonts w:asciiTheme="minorHAnsi" w:hAnsiTheme="minorHAnsi" w:cstheme="minorHAnsi"/>
          <w:sz w:val="22"/>
          <w:szCs w:val="22"/>
        </w:rPr>
        <w:t xml:space="preserve">Those in the 65-74 age-group (87%) were more likely than those in the 16-24 age-group (53%) to say that </w:t>
      </w:r>
      <w:r w:rsidR="00137E3D">
        <w:rPr>
          <w:rFonts w:asciiTheme="minorHAnsi" w:hAnsiTheme="minorHAnsi" w:cstheme="minorHAnsi"/>
          <w:sz w:val="22"/>
          <w:szCs w:val="22"/>
        </w:rPr>
        <w:t>no-one</w:t>
      </w:r>
      <w:r>
        <w:rPr>
          <w:rFonts w:asciiTheme="minorHAnsi" w:hAnsiTheme="minorHAnsi" w:cstheme="minorHAnsi"/>
          <w:sz w:val="22"/>
          <w:szCs w:val="22"/>
        </w:rPr>
        <w:t xml:space="preserve"> should </w:t>
      </w:r>
      <w:r w:rsidR="00137E3D">
        <w:rPr>
          <w:rFonts w:asciiTheme="minorHAnsi" w:hAnsiTheme="minorHAnsi" w:cstheme="minorHAnsi"/>
          <w:sz w:val="22"/>
          <w:szCs w:val="22"/>
        </w:rPr>
        <w:t>be</w:t>
      </w:r>
      <w:r>
        <w:rPr>
          <w:rFonts w:asciiTheme="minorHAnsi" w:hAnsiTheme="minorHAnsi" w:cstheme="minorHAnsi"/>
          <w:sz w:val="22"/>
          <w:szCs w:val="22"/>
        </w:rPr>
        <w:t xml:space="preserve"> using sunbeds.  </w:t>
      </w:r>
    </w:p>
    <w:p w:rsidR="00E16AF0" w:rsidRDefault="00E16AF0" w:rsidP="00E16AF0">
      <w:pPr>
        <w:tabs>
          <w:tab w:val="center" w:pos="4075"/>
        </w:tabs>
        <w:autoSpaceDE w:val="0"/>
        <w:autoSpaceDN w:val="0"/>
        <w:adjustRightInd w:val="0"/>
        <w:rPr>
          <w:rFonts w:asciiTheme="minorHAnsi" w:hAnsiTheme="minorHAnsi" w:cstheme="minorHAnsi"/>
          <w:sz w:val="22"/>
          <w:szCs w:val="22"/>
        </w:rPr>
      </w:pPr>
      <w:r w:rsidRPr="00563BED">
        <w:rPr>
          <w:rFonts w:asciiTheme="minorHAnsi" w:hAnsiTheme="minorHAnsi" w:cstheme="minorHAnsi"/>
          <w:noProof/>
          <w:sz w:val="22"/>
          <w:szCs w:val="22"/>
          <w:lang w:val="en-IE" w:eastAsia="en-IE"/>
        </w:rPr>
        <w:drawing>
          <wp:inline distT="0" distB="0" distL="0" distR="0">
            <wp:extent cx="4391025" cy="2952000"/>
            <wp:effectExtent l="0" t="0" r="0" b="0"/>
            <wp:docPr id="1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16AF0" w:rsidRPr="00361E62" w:rsidRDefault="00E16AF0" w:rsidP="008A7352">
      <w:pPr>
        <w:tabs>
          <w:tab w:val="left" w:pos="-180"/>
        </w:tabs>
        <w:suppressAutoHyphens/>
        <w:spacing w:before="360" w:after="120"/>
        <w:rPr>
          <w:rFonts w:asciiTheme="minorHAnsi" w:hAnsiTheme="minorHAnsi" w:cstheme="minorHAnsi"/>
          <w:b/>
          <w:color w:val="CC3300"/>
          <w:sz w:val="22"/>
          <w:szCs w:val="22"/>
        </w:rPr>
      </w:pPr>
      <w:r w:rsidRPr="00361E62">
        <w:rPr>
          <w:rFonts w:asciiTheme="minorHAnsi" w:hAnsiTheme="minorHAnsi" w:cstheme="minorHAnsi"/>
          <w:b/>
          <w:color w:val="CC3300"/>
          <w:sz w:val="22"/>
          <w:szCs w:val="22"/>
        </w:rPr>
        <w:t>Information on Suncare</w:t>
      </w:r>
    </w:p>
    <w:p w:rsidR="00E16AF0" w:rsidRDefault="00E16AF0" w:rsidP="00B51E2F">
      <w:pPr>
        <w:tabs>
          <w:tab w:val="center" w:pos="4075"/>
        </w:tabs>
        <w:autoSpaceDE w:val="0"/>
        <w:autoSpaceDN w:val="0"/>
        <w:adjustRightInd w:val="0"/>
        <w:spacing w:after="120" w:line="288" w:lineRule="auto"/>
        <w:rPr>
          <w:rFonts w:asciiTheme="minorHAnsi" w:hAnsiTheme="minorHAnsi" w:cstheme="minorHAnsi"/>
          <w:sz w:val="22"/>
          <w:szCs w:val="22"/>
        </w:rPr>
      </w:pPr>
      <w:r>
        <w:rPr>
          <w:rFonts w:asciiTheme="minorHAnsi" w:hAnsiTheme="minorHAnsi" w:cstheme="minorHAnsi"/>
          <w:sz w:val="22"/>
          <w:szCs w:val="22"/>
        </w:rPr>
        <w:t>Respondents were asked where they had obtained information about care in the sun.  The most popular answers were television (63%), magazine (46%), newspaper (32%), from poster or leaflet in a public place (23%) or from a Healthcare Professional (GP / Nurse) (21%).</w:t>
      </w:r>
    </w:p>
    <w:p w:rsidR="00137E3D" w:rsidRDefault="00137E3D" w:rsidP="0095371B">
      <w:pPr>
        <w:tabs>
          <w:tab w:val="left" w:pos="-180"/>
        </w:tabs>
        <w:suppressAutoHyphens/>
        <w:spacing w:after="60"/>
        <w:rPr>
          <w:rFonts w:asciiTheme="minorHAnsi" w:hAnsiTheme="minorHAnsi" w:cstheme="minorHAnsi"/>
          <w:b/>
          <w:color w:val="4F81BD" w:themeColor="accent1"/>
          <w:sz w:val="24"/>
          <w:szCs w:val="24"/>
        </w:rPr>
      </w:pPr>
    </w:p>
    <w:p w:rsidR="00AD2B70" w:rsidRDefault="00AD2B70" w:rsidP="00AC756F">
      <w:pPr>
        <w:pStyle w:val="Heading2"/>
        <w:spacing w:before="0" w:after="60"/>
        <w:rPr>
          <w:rFonts w:asciiTheme="minorHAnsi" w:hAnsiTheme="minorHAnsi" w:cstheme="minorHAnsi"/>
          <w:sz w:val="24"/>
          <w:szCs w:val="24"/>
        </w:rPr>
        <w:sectPr w:rsidR="00AD2B70" w:rsidSect="007033B0">
          <w:pgSz w:w="16838" w:h="11906" w:orient="landscape"/>
          <w:pgMar w:top="737" w:right="1247" w:bottom="737" w:left="1247" w:header="454" w:footer="567" w:gutter="0"/>
          <w:cols w:num="2" w:space="454"/>
          <w:docGrid w:linePitch="360"/>
        </w:sectPr>
      </w:pPr>
      <w:bookmarkStart w:id="50" w:name="_Ref381945950"/>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697328" w:rsidRPr="00DC2342" w:rsidTr="007E7DA4">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F2DBDB" w:themeColor="accent2" w:themeTint="33"/>
            </w:tcBorders>
            <w:shd w:val="clear" w:color="auto" w:fill="C0504D" w:themeFill="accent2"/>
            <w:textDirection w:val="btLr"/>
          </w:tcPr>
          <w:p w:rsidR="00697328" w:rsidRPr="00967502" w:rsidRDefault="00967502" w:rsidP="00B27573">
            <w:pPr>
              <w:pStyle w:val="Heading2"/>
              <w:spacing w:before="0" w:after="60"/>
              <w:ind w:left="113" w:right="113"/>
              <w:jc w:val="center"/>
              <w:outlineLvl w:val="1"/>
              <w:rPr>
                <w:rFonts w:ascii="Calibri" w:hAnsi="Calibri" w:cs="Calibri"/>
                <w:i/>
                <w:color w:val="F2DBDB" w:themeColor="accent2" w:themeTint="33"/>
                <w:sz w:val="72"/>
                <w:szCs w:val="72"/>
              </w:rPr>
            </w:pPr>
            <w:bookmarkStart w:id="51" w:name="_Ref382555608"/>
            <w:r w:rsidRPr="00967502">
              <w:rPr>
                <w:rFonts w:ascii="Calibri" w:hAnsi="Calibri" w:cs="Calibri"/>
                <w:i/>
                <w:color w:val="F2DBDB" w:themeColor="accent2" w:themeTint="33"/>
                <w:sz w:val="72"/>
                <w:szCs w:val="72"/>
              </w:rPr>
              <w:t>Sexual Health</w:t>
            </w:r>
            <w:bookmarkEnd w:id="51"/>
            <w:r w:rsidR="00697328" w:rsidRPr="00967502">
              <w:rPr>
                <w:rFonts w:ascii="Calibri" w:hAnsi="Calibri" w:cs="Calibri"/>
                <w:i/>
                <w:color w:val="F2DBDB" w:themeColor="accent2" w:themeTint="33"/>
                <w:sz w:val="72"/>
                <w:szCs w:val="72"/>
              </w:rPr>
              <w:t xml:space="preserve"> </w:t>
            </w:r>
          </w:p>
        </w:tc>
        <w:tc>
          <w:tcPr>
            <w:tcW w:w="5977" w:type="dxa"/>
            <w:tcBorders>
              <w:top w:val="nil"/>
              <w:left w:val="thinThickSmallGap" w:sz="24" w:space="0" w:color="F2DBDB" w:themeColor="accent2" w:themeTint="33"/>
              <w:bottom w:val="nil"/>
              <w:right w:val="nil"/>
            </w:tcBorders>
            <w:shd w:val="clear" w:color="auto" w:fill="C0504D" w:themeFill="accent2"/>
            <w:vAlign w:val="center"/>
          </w:tcPr>
          <w:p w:rsidR="00697328" w:rsidRPr="00DC2342" w:rsidRDefault="00697328" w:rsidP="00B27573">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697328" w:rsidRPr="00DC2342" w:rsidTr="007E7DA4">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C0504D" w:themeFill="accent2"/>
          </w:tcPr>
          <w:p w:rsidR="00697328" w:rsidRPr="006F13A2" w:rsidRDefault="00697328"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C0504D" w:themeFill="accent2"/>
            <w:vAlign w:val="center"/>
          </w:tcPr>
          <w:p w:rsidR="00697328" w:rsidRPr="00DC2342" w:rsidRDefault="00697328" w:rsidP="007E7DA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E7DA4">
              <w:rPr>
                <w:rFonts w:asciiTheme="minorHAnsi" w:hAnsiTheme="minorHAnsi" w:cstheme="minorHAnsi"/>
                <w:i/>
                <w:color w:val="FFFFFF" w:themeColor="background1"/>
                <w:sz w:val="28"/>
                <w:szCs w:val="28"/>
              </w:rPr>
              <w:t>Knowledge of sexually transmitted infections</w:t>
            </w:r>
          </w:p>
        </w:tc>
      </w:tr>
      <w:tr w:rsidR="00697328" w:rsidRPr="00DC2342" w:rsidTr="007E7DA4">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C0504D" w:themeFill="accent2"/>
          </w:tcPr>
          <w:p w:rsidR="00697328" w:rsidRPr="006F13A2" w:rsidRDefault="00697328"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C0504D" w:themeFill="accent2"/>
            <w:vAlign w:val="center"/>
          </w:tcPr>
          <w:p w:rsidR="00697328" w:rsidRPr="00DC2342" w:rsidRDefault="00697328" w:rsidP="007E7DA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Use of </w:t>
            </w:r>
            <w:r w:rsidR="007E7DA4">
              <w:rPr>
                <w:rFonts w:asciiTheme="minorHAnsi" w:hAnsiTheme="minorHAnsi" w:cstheme="minorHAnsi"/>
                <w:i/>
                <w:color w:val="FFFFFF" w:themeColor="background1"/>
                <w:sz w:val="28"/>
                <w:szCs w:val="28"/>
              </w:rPr>
              <w:t>condoms</w:t>
            </w:r>
          </w:p>
        </w:tc>
      </w:tr>
      <w:tr w:rsidR="00697328" w:rsidRPr="00DC2342" w:rsidTr="007E7DA4">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C0504D" w:themeFill="accent2"/>
          </w:tcPr>
          <w:p w:rsidR="00697328" w:rsidRPr="006F13A2" w:rsidRDefault="00697328"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C0504D" w:themeFill="accent2"/>
            <w:vAlign w:val="center"/>
          </w:tcPr>
          <w:p w:rsidR="00697328" w:rsidRPr="00DC2342" w:rsidRDefault="00697328" w:rsidP="007E7DA4">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r w:rsidR="007E7DA4">
              <w:rPr>
                <w:rFonts w:asciiTheme="minorHAnsi" w:hAnsiTheme="minorHAnsi" w:cstheme="minorHAnsi"/>
                <w:i/>
                <w:color w:val="FFFFFF" w:themeColor="background1"/>
                <w:sz w:val="28"/>
                <w:szCs w:val="28"/>
              </w:rPr>
              <w:t>Perceived risk of getting an STI</w:t>
            </w:r>
          </w:p>
        </w:tc>
      </w:tr>
      <w:tr w:rsidR="00697328" w:rsidRPr="00DC2342" w:rsidTr="007E7DA4">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F2DBDB" w:themeColor="accent2" w:themeTint="33"/>
            </w:tcBorders>
            <w:shd w:val="clear" w:color="auto" w:fill="C0504D" w:themeFill="accent2"/>
          </w:tcPr>
          <w:p w:rsidR="00697328" w:rsidRPr="006F13A2" w:rsidRDefault="00697328"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C0504D" w:themeFill="accent2"/>
            <w:vAlign w:val="center"/>
          </w:tcPr>
          <w:p w:rsidR="00697328" w:rsidRPr="00DC2342" w:rsidRDefault="00697328" w:rsidP="00B27573">
            <w:pPr>
              <w:pStyle w:val="Heading2"/>
              <w:spacing w:before="0" w:after="60"/>
              <w:outlineLvl w:val="1"/>
              <w:rPr>
                <w:rFonts w:asciiTheme="minorHAnsi" w:hAnsiTheme="minorHAnsi" w:cstheme="minorHAnsi"/>
                <w:i/>
                <w:color w:val="FFFFFF" w:themeColor="background1"/>
                <w:sz w:val="28"/>
                <w:szCs w:val="28"/>
              </w:rPr>
            </w:pPr>
          </w:p>
        </w:tc>
      </w:tr>
    </w:tbl>
    <w:p w:rsidR="00697328" w:rsidRDefault="00697328" w:rsidP="00697328">
      <w:pPr>
        <w:jc w:val="left"/>
        <w:rPr>
          <w:rFonts w:asciiTheme="minorHAnsi" w:hAnsiTheme="minorHAnsi" w:cstheme="minorHAnsi"/>
          <w:i/>
          <w:sz w:val="22"/>
          <w:szCs w:val="22"/>
        </w:rPr>
      </w:pPr>
    </w:p>
    <w:p w:rsidR="00697328" w:rsidRDefault="00697328" w:rsidP="00697328">
      <w:pPr>
        <w:jc w:val="left"/>
        <w:rPr>
          <w:rFonts w:asciiTheme="minorHAnsi" w:hAnsiTheme="minorHAnsi" w:cstheme="minorHAnsi"/>
          <w:i/>
          <w:sz w:val="22"/>
          <w:szCs w:val="22"/>
        </w:rPr>
      </w:pPr>
    </w:p>
    <w:p w:rsidR="00697328" w:rsidRDefault="00697328" w:rsidP="00697328">
      <w:pPr>
        <w:jc w:val="left"/>
        <w:rPr>
          <w:rFonts w:asciiTheme="minorHAnsi" w:hAnsiTheme="minorHAnsi" w:cstheme="minorHAnsi"/>
          <w:i/>
          <w:sz w:val="22"/>
          <w:szCs w:val="22"/>
        </w:rPr>
      </w:pPr>
    </w:p>
    <w:p w:rsidR="00697328" w:rsidRPr="002D4993" w:rsidRDefault="00697328" w:rsidP="00697328">
      <w:pPr>
        <w:jc w:val="left"/>
        <w:rPr>
          <w:rFonts w:asciiTheme="minorHAnsi" w:hAnsiTheme="minorHAnsi" w:cstheme="minorHAnsi"/>
          <w:i/>
          <w:sz w:val="22"/>
          <w:szCs w:val="22"/>
        </w:rPr>
      </w:pPr>
    </w:p>
    <w:tbl>
      <w:tblPr>
        <w:tblStyle w:val="TableGrid"/>
        <w:tblW w:w="7260" w:type="dxa"/>
        <w:tblLook w:val="04A0" w:firstRow="1" w:lastRow="0" w:firstColumn="1" w:lastColumn="0" w:noHBand="0" w:noVBand="1"/>
      </w:tblPr>
      <w:tblGrid>
        <w:gridCol w:w="1432"/>
        <w:gridCol w:w="1432"/>
        <w:gridCol w:w="1432"/>
        <w:gridCol w:w="1432"/>
        <w:gridCol w:w="99"/>
        <w:gridCol w:w="1334"/>
        <w:gridCol w:w="99"/>
      </w:tblGrid>
      <w:tr w:rsidR="00697328" w:rsidRPr="002D4993" w:rsidTr="00002695">
        <w:trPr>
          <w:gridAfter w:val="1"/>
          <w:wAfter w:w="99" w:type="dxa"/>
          <w:trHeight w:val="1361"/>
        </w:trPr>
        <w:tc>
          <w:tcPr>
            <w:tcW w:w="2864" w:type="dxa"/>
            <w:gridSpan w:val="2"/>
            <w:tcBorders>
              <w:top w:val="nil"/>
              <w:left w:val="nil"/>
              <w:bottom w:val="nil"/>
              <w:right w:val="nil"/>
            </w:tcBorders>
            <w:shd w:val="clear" w:color="auto" w:fill="E5B8B7" w:themeFill="accent2" w:themeFillTint="66"/>
            <w:vAlign w:val="center"/>
          </w:tcPr>
          <w:p w:rsidR="00697328" w:rsidRPr="002D4993" w:rsidRDefault="00CE5948" w:rsidP="00CE5948">
            <w:pPr>
              <w:jc w:val="left"/>
              <w:rPr>
                <w:rFonts w:asciiTheme="minorHAnsi" w:hAnsiTheme="minorHAnsi" w:cstheme="minorHAnsi"/>
                <w:b/>
                <w:i/>
                <w:color w:val="943634" w:themeColor="accent2" w:themeShade="BF"/>
                <w:sz w:val="22"/>
                <w:szCs w:val="22"/>
              </w:rPr>
            </w:pPr>
            <w:r w:rsidRPr="002D4993">
              <w:rPr>
                <w:rFonts w:asciiTheme="minorHAnsi" w:hAnsiTheme="minorHAnsi" w:cstheme="minorHAnsi"/>
                <w:i/>
                <w:color w:val="943634" w:themeColor="accent2" w:themeShade="BF"/>
                <w:sz w:val="22"/>
                <w:szCs w:val="22"/>
              </w:rPr>
              <w:t>86% of respondents were aware that condoms could be used to protect against STIs</w:t>
            </w: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2865" w:type="dxa"/>
            <w:gridSpan w:val="3"/>
            <w:vMerge w:val="restart"/>
            <w:tcBorders>
              <w:top w:val="nil"/>
              <w:left w:val="nil"/>
              <w:bottom w:val="nil"/>
              <w:right w:val="nil"/>
            </w:tcBorders>
            <w:shd w:val="clear" w:color="auto" w:fill="632423" w:themeFill="accent2" w:themeFillShade="80"/>
            <w:vAlign w:val="center"/>
          </w:tcPr>
          <w:p w:rsidR="00697328" w:rsidRPr="002D4993" w:rsidRDefault="00DD1308" w:rsidP="00B27573">
            <w:pPr>
              <w:jc w:val="left"/>
              <w:rPr>
                <w:rFonts w:asciiTheme="minorHAnsi" w:hAnsiTheme="minorHAnsi" w:cstheme="minorHAnsi"/>
                <w:b/>
                <w:i/>
                <w:color w:val="FFFFFF" w:themeColor="background1"/>
                <w:sz w:val="26"/>
                <w:szCs w:val="26"/>
              </w:rPr>
            </w:pPr>
            <w:r w:rsidRPr="002D4993">
              <w:rPr>
                <w:rFonts w:asciiTheme="minorHAnsi" w:hAnsiTheme="minorHAnsi" w:cstheme="minorHAnsi"/>
                <w:b/>
                <w:i/>
                <w:sz w:val="26"/>
                <w:szCs w:val="26"/>
              </w:rPr>
              <w:t>Awareness of Sexually Transmitted Infections (STIs) was highest among respondents for HIV / AIDS (88%) followed by Genital Herpes (80%)</w:t>
            </w:r>
          </w:p>
        </w:tc>
      </w:tr>
      <w:tr w:rsidR="00697328" w:rsidRPr="002D4993" w:rsidTr="00002695">
        <w:trPr>
          <w:gridAfter w:val="1"/>
          <w:wAfter w:w="99" w:type="dxa"/>
          <w:trHeight w:val="1020"/>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2865" w:type="dxa"/>
            <w:gridSpan w:val="3"/>
            <w:vMerge/>
            <w:tcBorders>
              <w:top w:val="nil"/>
              <w:left w:val="nil"/>
              <w:bottom w:val="nil"/>
              <w:right w:val="nil"/>
            </w:tcBorders>
            <w:shd w:val="clear" w:color="auto" w:fill="632423" w:themeFill="accent2" w:themeFillShade="80"/>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B27573">
        <w:trPr>
          <w:gridAfter w:val="1"/>
          <w:wAfter w:w="99" w:type="dxa"/>
          <w:trHeight w:val="340"/>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002695">
        <w:trPr>
          <w:gridAfter w:val="1"/>
          <w:wAfter w:w="99" w:type="dxa"/>
          <w:trHeight w:val="1587"/>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D99594" w:themeFill="accent2" w:themeFillTint="99"/>
            <w:vAlign w:val="center"/>
          </w:tcPr>
          <w:p w:rsidR="00697328" w:rsidRPr="002D4993" w:rsidRDefault="00CE5948" w:rsidP="00CE5948">
            <w:pPr>
              <w:jc w:val="left"/>
              <w:rPr>
                <w:rFonts w:asciiTheme="minorHAnsi" w:hAnsiTheme="minorHAnsi" w:cstheme="minorHAnsi"/>
                <w:b/>
                <w:i/>
                <w:color w:val="FFFFFF" w:themeColor="background1"/>
                <w:sz w:val="32"/>
                <w:szCs w:val="32"/>
              </w:rPr>
            </w:pPr>
            <w:r w:rsidRPr="002D4993">
              <w:rPr>
                <w:rFonts w:asciiTheme="minorHAnsi" w:hAnsiTheme="minorHAnsi" w:cstheme="minorHAnsi"/>
                <w:b/>
                <w:i/>
                <w:color w:val="FFFFFF" w:themeColor="background1"/>
                <w:sz w:val="32"/>
                <w:szCs w:val="32"/>
              </w:rPr>
              <w:t>68% of respondents thought they were not at all at risk of getting an STI</w:t>
            </w:r>
          </w:p>
        </w:tc>
        <w:tc>
          <w:tcPr>
            <w:tcW w:w="1433" w:type="dxa"/>
            <w:gridSpan w:val="2"/>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B27573">
        <w:trPr>
          <w:gridAfter w:val="1"/>
          <w:wAfter w:w="99" w:type="dxa"/>
          <w:trHeight w:val="510"/>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002695">
        <w:trPr>
          <w:trHeight w:val="1361"/>
        </w:trPr>
        <w:tc>
          <w:tcPr>
            <w:tcW w:w="2864" w:type="dxa"/>
            <w:gridSpan w:val="2"/>
            <w:vMerge w:val="restart"/>
            <w:tcBorders>
              <w:top w:val="nil"/>
              <w:left w:val="nil"/>
              <w:bottom w:val="nil"/>
              <w:right w:val="nil"/>
            </w:tcBorders>
            <w:shd w:val="clear" w:color="auto" w:fill="F2DBDB" w:themeFill="accent2" w:themeFillTint="33"/>
            <w:vAlign w:val="center"/>
          </w:tcPr>
          <w:p w:rsidR="00697328" w:rsidRPr="002D4993" w:rsidRDefault="00CE5948" w:rsidP="00CE5948">
            <w:pPr>
              <w:jc w:val="left"/>
              <w:rPr>
                <w:rFonts w:asciiTheme="minorHAnsi" w:hAnsiTheme="minorHAnsi" w:cstheme="minorHAnsi"/>
                <w:i/>
                <w:color w:val="632423" w:themeColor="accent2" w:themeShade="80"/>
                <w:sz w:val="28"/>
                <w:szCs w:val="28"/>
              </w:rPr>
            </w:pPr>
            <w:r w:rsidRPr="002D4993">
              <w:rPr>
                <w:rFonts w:asciiTheme="minorHAnsi" w:hAnsiTheme="minorHAnsi" w:cstheme="minorHAnsi"/>
                <w:i/>
                <w:color w:val="632423" w:themeColor="accent2" w:themeShade="80"/>
                <w:sz w:val="28"/>
                <w:szCs w:val="28"/>
              </w:rPr>
              <w:t>21% of respondents wrongly believed that the pill would provide protection against STIs</w:t>
            </w: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531" w:type="dxa"/>
            <w:gridSpan w:val="2"/>
            <w:tcBorders>
              <w:top w:val="nil"/>
              <w:left w:val="nil"/>
              <w:bottom w:val="nil"/>
              <w:right w:val="nil"/>
            </w:tcBorders>
            <w:shd w:val="clear" w:color="auto" w:fill="943634" w:themeFill="accent2" w:themeFillShade="BF"/>
            <w:vAlign w:val="center"/>
          </w:tcPr>
          <w:p w:rsidR="00697328" w:rsidRPr="002D4993" w:rsidRDefault="00CE5948" w:rsidP="00B27573">
            <w:pPr>
              <w:jc w:val="left"/>
              <w:rPr>
                <w:rFonts w:asciiTheme="minorHAnsi" w:hAnsiTheme="minorHAnsi" w:cstheme="minorHAnsi"/>
                <w:b/>
                <w:i/>
                <w:color w:val="FFFFFF" w:themeColor="background1"/>
              </w:rPr>
            </w:pPr>
            <w:r w:rsidRPr="002D4993">
              <w:rPr>
                <w:rFonts w:asciiTheme="minorHAnsi" w:hAnsiTheme="minorHAnsi" w:cstheme="minorHAnsi"/>
                <w:i/>
                <w:color w:val="FFFFFF" w:themeColor="background1"/>
              </w:rPr>
              <w:t>Knowledge of STIs was highest in the Belfast Trust area</w:t>
            </w:r>
          </w:p>
        </w:tc>
        <w:tc>
          <w:tcPr>
            <w:tcW w:w="1433" w:type="dxa"/>
            <w:gridSpan w:val="2"/>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002695">
        <w:trPr>
          <w:gridAfter w:val="1"/>
          <w:wAfter w:w="99" w:type="dxa"/>
          <w:trHeight w:val="567"/>
        </w:trPr>
        <w:tc>
          <w:tcPr>
            <w:tcW w:w="2864" w:type="dxa"/>
            <w:gridSpan w:val="2"/>
            <w:vMerge/>
            <w:tcBorders>
              <w:top w:val="nil"/>
              <w:left w:val="nil"/>
              <w:bottom w:val="nil"/>
              <w:right w:val="nil"/>
            </w:tcBorders>
            <w:shd w:val="clear" w:color="auto" w:fill="F2DBDB" w:themeFill="accent2" w:themeFillTint="33"/>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B27573">
        <w:trPr>
          <w:gridAfter w:val="1"/>
          <w:wAfter w:w="99" w:type="dxa"/>
          <w:trHeight w:val="283"/>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r>
      <w:tr w:rsidR="00697328" w:rsidRPr="002D4993" w:rsidTr="00002695">
        <w:trPr>
          <w:gridAfter w:val="1"/>
          <w:wAfter w:w="99" w:type="dxa"/>
          <w:trHeight w:val="1701"/>
        </w:trPr>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697328" w:rsidRPr="002D4993" w:rsidRDefault="00697328"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C0504D" w:themeFill="accent2"/>
            <w:vAlign w:val="center"/>
          </w:tcPr>
          <w:p w:rsidR="00697328" w:rsidRPr="002D4993" w:rsidRDefault="00CE5948" w:rsidP="00CE5948">
            <w:pPr>
              <w:jc w:val="left"/>
              <w:rPr>
                <w:rFonts w:asciiTheme="minorHAnsi" w:hAnsiTheme="minorHAnsi" w:cstheme="minorHAnsi"/>
                <w:b/>
                <w:i/>
                <w:color w:val="FFFFFF" w:themeColor="background1"/>
                <w:sz w:val="24"/>
                <w:szCs w:val="24"/>
              </w:rPr>
            </w:pPr>
            <w:r w:rsidRPr="002D4993">
              <w:rPr>
                <w:rFonts w:asciiTheme="minorHAnsi" w:hAnsiTheme="minorHAnsi" w:cstheme="minorHAnsi"/>
                <w:b/>
                <w:i/>
                <w:color w:val="FFFFFF" w:themeColor="background1"/>
                <w:sz w:val="24"/>
                <w:szCs w:val="24"/>
              </w:rPr>
              <w:t>89% of respondents agreed with the statement that ‘It is necessary to use condoms with a new partner even if some other method of contraception is being used’</w:t>
            </w:r>
          </w:p>
        </w:tc>
      </w:tr>
    </w:tbl>
    <w:p w:rsidR="00AD2B70" w:rsidRDefault="00AD2B70" w:rsidP="00AC756F">
      <w:pPr>
        <w:pStyle w:val="Heading2"/>
        <w:spacing w:before="0" w:after="60"/>
        <w:rPr>
          <w:rFonts w:asciiTheme="minorHAnsi" w:hAnsiTheme="minorHAnsi" w:cstheme="minorHAnsi"/>
          <w:sz w:val="24"/>
          <w:szCs w:val="24"/>
        </w:rPr>
        <w:sectPr w:rsidR="00AD2B70" w:rsidSect="007033B0">
          <w:pgSz w:w="16838" w:h="11906" w:orient="landscape"/>
          <w:pgMar w:top="737" w:right="1247" w:bottom="737" w:left="1247" w:header="454" w:footer="567" w:gutter="0"/>
          <w:cols w:num="2" w:space="454"/>
          <w:docGrid w:linePitch="360"/>
        </w:sectPr>
      </w:pPr>
    </w:p>
    <w:p w:rsidR="00760B36" w:rsidRPr="00002695" w:rsidRDefault="00760B36" w:rsidP="00EB0AC3">
      <w:pPr>
        <w:pStyle w:val="Heading2"/>
        <w:spacing w:before="0" w:after="60"/>
        <w:rPr>
          <w:rFonts w:asciiTheme="minorHAnsi" w:hAnsiTheme="minorHAnsi" w:cstheme="minorHAnsi"/>
          <w:color w:val="C0504D" w:themeColor="accent2"/>
          <w:sz w:val="24"/>
          <w:szCs w:val="24"/>
        </w:rPr>
      </w:pPr>
      <w:r w:rsidRPr="00002695">
        <w:rPr>
          <w:rFonts w:asciiTheme="minorHAnsi" w:hAnsiTheme="minorHAnsi" w:cstheme="minorHAnsi"/>
          <w:color w:val="C0504D" w:themeColor="accent2"/>
          <w:sz w:val="24"/>
          <w:szCs w:val="24"/>
        </w:rPr>
        <w:t>Sexual Health</w:t>
      </w:r>
      <w:bookmarkEnd w:id="50"/>
    </w:p>
    <w:p w:rsidR="009017A7" w:rsidRPr="00002695" w:rsidRDefault="009017A7" w:rsidP="00002695">
      <w:pPr>
        <w:tabs>
          <w:tab w:val="left" w:pos="-180"/>
        </w:tabs>
        <w:suppressAutoHyphens/>
        <w:spacing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Background</w:t>
      </w:r>
    </w:p>
    <w:p w:rsidR="00E8371A" w:rsidRPr="009B1C0F" w:rsidRDefault="00E8371A" w:rsidP="00002695">
      <w:pPr>
        <w:tabs>
          <w:tab w:val="left" w:pos="-180"/>
        </w:tabs>
        <w:suppressAutoHyphens/>
        <w:spacing w:after="120" w:line="288" w:lineRule="auto"/>
        <w:rPr>
          <w:rFonts w:ascii="Calibri" w:hAnsi="Calibri" w:cs="Calibri"/>
          <w:sz w:val="22"/>
          <w:szCs w:val="22"/>
        </w:rPr>
      </w:pPr>
      <w:r>
        <w:rPr>
          <w:rFonts w:asciiTheme="minorHAnsi" w:hAnsiTheme="minorHAnsi" w:cstheme="minorHAnsi"/>
          <w:sz w:val="22"/>
          <w:szCs w:val="22"/>
        </w:rPr>
        <w:t>The Sexual Health Promotion Strategy and Action Plan note</w:t>
      </w:r>
      <w:r w:rsidR="006731EE">
        <w:rPr>
          <w:rFonts w:asciiTheme="minorHAnsi" w:hAnsiTheme="minorHAnsi" w:cstheme="minorHAnsi"/>
          <w:sz w:val="22"/>
          <w:szCs w:val="22"/>
        </w:rPr>
        <w:t>d</w:t>
      </w:r>
      <w:r>
        <w:rPr>
          <w:rFonts w:asciiTheme="minorHAnsi" w:hAnsiTheme="minorHAnsi" w:cstheme="minorHAnsi"/>
          <w:sz w:val="22"/>
          <w:szCs w:val="22"/>
        </w:rPr>
        <w:t xml:space="preserve"> that the prevalence of </w:t>
      </w:r>
      <w:r w:rsidRPr="00852639">
        <w:rPr>
          <w:rFonts w:asciiTheme="minorHAnsi" w:hAnsiTheme="minorHAnsi" w:cstheme="minorHAnsi"/>
          <w:sz w:val="22"/>
          <w:szCs w:val="22"/>
        </w:rPr>
        <w:t>Sexually Transmitted Infections (STIs)</w:t>
      </w:r>
      <w:r>
        <w:rPr>
          <w:rFonts w:asciiTheme="minorHAnsi" w:hAnsiTheme="minorHAnsi" w:cstheme="minorHAnsi"/>
          <w:sz w:val="22"/>
          <w:szCs w:val="22"/>
        </w:rPr>
        <w:t xml:space="preserve"> is increasing in Northern Ireland.  </w:t>
      </w:r>
      <w:r w:rsidRPr="009B1C0F">
        <w:rPr>
          <w:rFonts w:ascii="Calibri" w:hAnsi="Calibri" w:cs="Calibri"/>
          <w:sz w:val="22"/>
          <w:szCs w:val="22"/>
        </w:rPr>
        <w:t>Sexual health is an important part of physical and mental health, as well as emotional and social wellbeing.  There are a number of factors which have an adverse impact on people’s sexual health including poverty, unemployment, poor education, substance misuse and social exclusion.  These groups have an increased risk of STIs.  In order to ascertain respondents’ current awareness of STIs, questions were asked in relation to Chlamydia, Gonorrhoea, Syphilis, General Herp</w:t>
      </w:r>
      <w:r w:rsidR="006731EE">
        <w:rPr>
          <w:rFonts w:ascii="Calibri" w:hAnsi="Calibri" w:cs="Calibri"/>
          <w:sz w:val="22"/>
          <w:szCs w:val="22"/>
        </w:rPr>
        <w:t>es, Genital Warts and HIV/AIDS, as well as</w:t>
      </w:r>
      <w:r w:rsidRPr="009B1C0F">
        <w:rPr>
          <w:rFonts w:ascii="Calibri" w:hAnsi="Calibri" w:cs="Calibri"/>
          <w:sz w:val="22"/>
          <w:szCs w:val="22"/>
        </w:rPr>
        <w:t xml:space="preserve"> questions regarding methods to protect </w:t>
      </w:r>
      <w:r w:rsidR="006731EE">
        <w:rPr>
          <w:rFonts w:ascii="Calibri" w:hAnsi="Calibri" w:cs="Calibri"/>
          <w:sz w:val="22"/>
          <w:szCs w:val="22"/>
        </w:rPr>
        <w:t>against STIs</w:t>
      </w:r>
      <w:r w:rsidRPr="009B1C0F">
        <w:rPr>
          <w:rFonts w:ascii="Calibri" w:hAnsi="Calibri" w:cs="Calibri"/>
          <w:sz w:val="22"/>
          <w:szCs w:val="22"/>
        </w:rPr>
        <w:t xml:space="preserve">. </w:t>
      </w:r>
    </w:p>
    <w:p w:rsidR="00760B36" w:rsidRPr="00852639" w:rsidRDefault="00760B36" w:rsidP="00002695">
      <w:pPr>
        <w:tabs>
          <w:tab w:val="left" w:pos="-180"/>
        </w:tabs>
        <w:suppressAutoHyphens/>
        <w:spacing w:after="120" w:line="288" w:lineRule="auto"/>
        <w:rPr>
          <w:rFonts w:asciiTheme="minorHAnsi" w:hAnsiTheme="minorHAnsi" w:cstheme="minorHAnsi"/>
          <w:sz w:val="22"/>
          <w:szCs w:val="22"/>
        </w:rPr>
      </w:pPr>
      <w:r w:rsidRPr="00852639">
        <w:rPr>
          <w:rFonts w:asciiTheme="minorHAnsi" w:hAnsiTheme="minorHAnsi" w:cstheme="minorHAnsi"/>
          <w:sz w:val="22"/>
          <w:szCs w:val="22"/>
        </w:rPr>
        <w:t>The sexual health section of the survey was a self-completion module and was completed by respondents aged between 16 and 55 years old.  A total of 1,</w:t>
      </w:r>
      <w:r>
        <w:rPr>
          <w:rFonts w:asciiTheme="minorHAnsi" w:hAnsiTheme="minorHAnsi" w:cstheme="minorHAnsi"/>
          <w:sz w:val="22"/>
          <w:szCs w:val="22"/>
        </w:rPr>
        <w:t>758</w:t>
      </w:r>
      <w:r w:rsidRPr="00852639">
        <w:rPr>
          <w:rFonts w:asciiTheme="minorHAnsi" w:hAnsiTheme="minorHAnsi" w:cstheme="minorHAnsi"/>
          <w:sz w:val="22"/>
          <w:szCs w:val="22"/>
        </w:rPr>
        <w:t xml:space="preserve"> individuals </w:t>
      </w:r>
      <w:r w:rsidR="001D6F77">
        <w:rPr>
          <w:rFonts w:asciiTheme="minorHAnsi" w:hAnsiTheme="minorHAnsi" w:cstheme="minorHAnsi"/>
          <w:sz w:val="22"/>
          <w:szCs w:val="22"/>
        </w:rPr>
        <w:t>(71</w:t>
      </w:r>
      <w:r w:rsidR="001D6F77" w:rsidRPr="00852639">
        <w:rPr>
          <w:rFonts w:asciiTheme="minorHAnsi" w:hAnsiTheme="minorHAnsi" w:cstheme="minorHAnsi"/>
          <w:sz w:val="22"/>
          <w:szCs w:val="22"/>
        </w:rPr>
        <w:t>%</w:t>
      </w:r>
      <w:r w:rsidR="001D6F77">
        <w:rPr>
          <w:rFonts w:asciiTheme="minorHAnsi" w:hAnsiTheme="minorHAnsi" w:cstheme="minorHAnsi"/>
          <w:sz w:val="22"/>
          <w:szCs w:val="22"/>
        </w:rPr>
        <w:t xml:space="preserve">) </w:t>
      </w:r>
      <w:r w:rsidRPr="00852639">
        <w:rPr>
          <w:rFonts w:asciiTheme="minorHAnsi" w:hAnsiTheme="minorHAnsi" w:cstheme="minorHAnsi"/>
          <w:sz w:val="22"/>
          <w:szCs w:val="22"/>
        </w:rPr>
        <w:t>in the selected age group agreed to complete the sexual health section.</w:t>
      </w:r>
    </w:p>
    <w:p w:rsidR="00760B36" w:rsidRPr="00002695" w:rsidRDefault="00760B36" w:rsidP="00EB0AC3">
      <w:pPr>
        <w:tabs>
          <w:tab w:val="left" w:pos="-180"/>
        </w:tabs>
        <w:suppressAutoHyphens/>
        <w:spacing w:after="60"/>
        <w:rPr>
          <w:rFonts w:asciiTheme="minorHAnsi" w:hAnsiTheme="minorHAnsi" w:cstheme="minorHAnsi"/>
          <w:b/>
          <w:color w:val="C0504D" w:themeColor="accent2"/>
          <w:sz w:val="24"/>
          <w:szCs w:val="24"/>
        </w:rPr>
      </w:pPr>
      <w:r w:rsidRPr="00002695">
        <w:rPr>
          <w:rFonts w:asciiTheme="minorHAnsi" w:hAnsiTheme="minorHAnsi" w:cstheme="minorHAnsi"/>
          <w:b/>
          <w:color w:val="C0504D" w:themeColor="accent2"/>
          <w:sz w:val="24"/>
          <w:szCs w:val="24"/>
        </w:rPr>
        <w:t>Knowledge of Sexually Transmitted Infections</w:t>
      </w:r>
    </w:p>
    <w:p w:rsidR="00760B36" w:rsidRDefault="00E952CA"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Awareness </w:t>
      </w:r>
      <w:r w:rsidR="00760B36" w:rsidRPr="00852639">
        <w:rPr>
          <w:rFonts w:asciiTheme="minorHAnsi" w:hAnsiTheme="minorHAnsi" w:cstheme="minorHAnsi"/>
          <w:sz w:val="22"/>
          <w:szCs w:val="22"/>
        </w:rPr>
        <w:t xml:space="preserve">of Sexually Transmitted Infections (STIs) </w:t>
      </w:r>
      <w:r w:rsidR="00760B36">
        <w:rPr>
          <w:rFonts w:asciiTheme="minorHAnsi" w:hAnsiTheme="minorHAnsi" w:cstheme="minorHAnsi"/>
          <w:sz w:val="22"/>
          <w:szCs w:val="22"/>
        </w:rPr>
        <w:t>was highest</w:t>
      </w:r>
      <w:r>
        <w:rPr>
          <w:rFonts w:asciiTheme="minorHAnsi" w:hAnsiTheme="minorHAnsi" w:cstheme="minorHAnsi"/>
          <w:sz w:val="22"/>
          <w:szCs w:val="22"/>
        </w:rPr>
        <w:t xml:space="preserve"> among respondents</w:t>
      </w:r>
      <w:r w:rsidR="00760B36">
        <w:rPr>
          <w:rFonts w:asciiTheme="minorHAnsi" w:hAnsiTheme="minorHAnsi" w:cstheme="minorHAnsi"/>
          <w:sz w:val="22"/>
          <w:szCs w:val="22"/>
        </w:rPr>
        <w:t xml:space="preserve"> for HIV / AIDS </w:t>
      </w:r>
      <w:r>
        <w:rPr>
          <w:rFonts w:asciiTheme="minorHAnsi" w:hAnsiTheme="minorHAnsi" w:cstheme="minorHAnsi"/>
          <w:sz w:val="22"/>
          <w:szCs w:val="22"/>
        </w:rPr>
        <w:t>(</w:t>
      </w:r>
      <w:r w:rsidR="00760B36">
        <w:rPr>
          <w:rFonts w:asciiTheme="minorHAnsi" w:hAnsiTheme="minorHAnsi" w:cstheme="minorHAnsi"/>
          <w:sz w:val="22"/>
          <w:szCs w:val="22"/>
        </w:rPr>
        <w:t>88%</w:t>
      </w:r>
      <w:r>
        <w:rPr>
          <w:rFonts w:asciiTheme="minorHAnsi" w:hAnsiTheme="minorHAnsi" w:cstheme="minorHAnsi"/>
          <w:sz w:val="22"/>
          <w:szCs w:val="22"/>
        </w:rPr>
        <w:t>) followed by</w:t>
      </w:r>
      <w:r w:rsidR="00760B36">
        <w:rPr>
          <w:rFonts w:asciiTheme="minorHAnsi" w:hAnsiTheme="minorHAnsi" w:cstheme="minorHAnsi"/>
          <w:sz w:val="22"/>
          <w:szCs w:val="22"/>
        </w:rPr>
        <w:t xml:space="preserve"> Genital Herpes</w:t>
      </w:r>
      <w:r>
        <w:rPr>
          <w:rFonts w:asciiTheme="minorHAnsi" w:hAnsiTheme="minorHAnsi" w:cstheme="minorHAnsi"/>
          <w:sz w:val="22"/>
          <w:szCs w:val="22"/>
        </w:rPr>
        <w:t xml:space="preserve"> (80%)</w:t>
      </w:r>
      <w:r w:rsidR="00760B36">
        <w:rPr>
          <w:rFonts w:asciiTheme="minorHAnsi" w:hAnsiTheme="minorHAnsi" w:cstheme="minorHAnsi"/>
          <w:sz w:val="22"/>
          <w:szCs w:val="22"/>
        </w:rPr>
        <w:t xml:space="preserve">, </w:t>
      </w:r>
      <w:r>
        <w:rPr>
          <w:rFonts w:asciiTheme="minorHAnsi" w:hAnsiTheme="minorHAnsi" w:cstheme="minorHAnsi"/>
          <w:sz w:val="22"/>
          <w:szCs w:val="22"/>
        </w:rPr>
        <w:t>while three-quarters of respondents were</w:t>
      </w:r>
      <w:r w:rsidR="00760B36">
        <w:rPr>
          <w:rFonts w:asciiTheme="minorHAnsi" w:hAnsiTheme="minorHAnsi" w:cstheme="minorHAnsi"/>
          <w:sz w:val="22"/>
          <w:szCs w:val="22"/>
        </w:rPr>
        <w:t xml:space="preserve"> aware of Genital Warts, </w:t>
      </w:r>
      <w:r>
        <w:rPr>
          <w:rFonts w:asciiTheme="minorHAnsi" w:hAnsiTheme="minorHAnsi" w:cstheme="minorHAnsi"/>
          <w:sz w:val="22"/>
          <w:szCs w:val="22"/>
        </w:rPr>
        <w:t xml:space="preserve">Syphilis, </w:t>
      </w:r>
      <w:r w:rsidR="00760B36">
        <w:rPr>
          <w:rFonts w:asciiTheme="minorHAnsi" w:hAnsiTheme="minorHAnsi" w:cstheme="minorHAnsi"/>
          <w:sz w:val="22"/>
          <w:szCs w:val="22"/>
        </w:rPr>
        <w:t xml:space="preserve">Gonorrhoea and Chlamydia.  </w:t>
      </w:r>
    </w:p>
    <w:p w:rsidR="00CF3C7B" w:rsidRDefault="00760B36" w:rsidP="00760B36">
      <w:pPr>
        <w:tabs>
          <w:tab w:val="left" w:pos="-180"/>
        </w:tabs>
        <w:suppressAutoHyphens/>
        <w:spacing w:after="120"/>
        <w:rPr>
          <w:rFonts w:asciiTheme="minorHAnsi" w:hAnsiTheme="minorHAnsi" w:cstheme="minorHAnsi"/>
          <w:sz w:val="22"/>
          <w:szCs w:val="22"/>
        </w:rPr>
      </w:pPr>
      <w:r w:rsidRPr="0013419E">
        <w:rPr>
          <w:rFonts w:asciiTheme="minorHAnsi" w:hAnsiTheme="minorHAnsi" w:cstheme="minorHAnsi"/>
          <w:noProof/>
          <w:sz w:val="22"/>
          <w:szCs w:val="22"/>
          <w:lang w:val="en-IE" w:eastAsia="en-IE"/>
        </w:rPr>
        <w:drawing>
          <wp:inline distT="0" distB="0" distL="0" distR="0">
            <wp:extent cx="4495800" cy="1800000"/>
            <wp:effectExtent l="1905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60B36" w:rsidRDefault="004314B8"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Awareness </w:t>
      </w:r>
      <w:r w:rsidR="00760B36">
        <w:rPr>
          <w:rFonts w:asciiTheme="minorHAnsi" w:hAnsiTheme="minorHAnsi" w:cstheme="minorHAnsi"/>
          <w:sz w:val="22"/>
          <w:szCs w:val="22"/>
        </w:rPr>
        <w:t>of the selected STIs</w:t>
      </w:r>
      <w:r>
        <w:rPr>
          <w:rFonts w:asciiTheme="minorHAnsi" w:hAnsiTheme="minorHAnsi" w:cstheme="minorHAnsi"/>
          <w:sz w:val="22"/>
          <w:szCs w:val="22"/>
        </w:rPr>
        <w:t xml:space="preserve"> was higher for</w:t>
      </w:r>
      <w:r w:rsidR="00760B36">
        <w:rPr>
          <w:rFonts w:asciiTheme="minorHAnsi" w:hAnsiTheme="minorHAnsi" w:cstheme="minorHAnsi"/>
          <w:sz w:val="22"/>
          <w:szCs w:val="22"/>
        </w:rPr>
        <w:t xml:space="preserve"> females, </w:t>
      </w:r>
      <w:r>
        <w:rPr>
          <w:rFonts w:asciiTheme="minorHAnsi" w:hAnsiTheme="minorHAnsi" w:cstheme="minorHAnsi"/>
          <w:sz w:val="22"/>
          <w:szCs w:val="22"/>
        </w:rPr>
        <w:t>respondents</w:t>
      </w:r>
      <w:r w:rsidR="00760B36">
        <w:rPr>
          <w:rFonts w:asciiTheme="minorHAnsi" w:hAnsiTheme="minorHAnsi" w:cstheme="minorHAnsi"/>
          <w:sz w:val="22"/>
          <w:szCs w:val="22"/>
        </w:rPr>
        <w:t xml:space="preserve"> in urban </w:t>
      </w:r>
      <w:r>
        <w:rPr>
          <w:rFonts w:asciiTheme="minorHAnsi" w:hAnsiTheme="minorHAnsi" w:cstheme="minorHAnsi"/>
          <w:sz w:val="22"/>
          <w:szCs w:val="22"/>
        </w:rPr>
        <w:t>areas</w:t>
      </w:r>
      <w:r w:rsidR="00760B36">
        <w:rPr>
          <w:rFonts w:asciiTheme="minorHAnsi" w:hAnsiTheme="minorHAnsi" w:cstheme="minorHAnsi"/>
          <w:sz w:val="22"/>
          <w:szCs w:val="22"/>
        </w:rPr>
        <w:t xml:space="preserve"> and </w:t>
      </w:r>
      <w:r>
        <w:rPr>
          <w:rFonts w:asciiTheme="minorHAnsi" w:hAnsiTheme="minorHAnsi" w:cstheme="minorHAnsi"/>
          <w:sz w:val="22"/>
          <w:szCs w:val="22"/>
        </w:rPr>
        <w:t xml:space="preserve">respondents living </w:t>
      </w:r>
      <w:r w:rsidR="00760B36">
        <w:rPr>
          <w:rFonts w:asciiTheme="minorHAnsi" w:hAnsiTheme="minorHAnsi" w:cstheme="minorHAnsi"/>
          <w:sz w:val="22"/>
          <w:szCs w:val="22"/>
        </w:rPr>
        <w:t xml:space="preserve">in the least deprived areas </w:t>
      </w:r>
      <w:r w:rsidR="002F1093">
        <w:rPr>
          <w:rFonts w:asciiTheme="minorHAnsi" w:hAnsiTheme="minorHAnsi" w:cstheme="minorHAnsi"/>
          <w:sz w:val="22"/>
          <w:szCs w:val="22"/>
        </w:rPr>
        <w:t>(compared with</w:t>
      </w:r>
      <w:r w:rsidR="00760B36">
        <w:rPr>
          <w:rFonts w:asciiTheme="minorHAnsi" w:hAnsiTheme="minorHAnsi" w:cstheme="minorHAnsi"/>
          <w:sz w:val="22"/>
          <w:szCs w:val="22"/>
        </w:rPr>
        <w:t xml:space="preserve"> those living in the most deprived areas</w:t>
      </w:r>
      <w:r w:rsidR="002F1093">
        <w:rPr>
          <w:rFonts w:asciiTheme="minorHAnsi" w:hAnsiTheme="minorHAnsi" w:cstheme="minorHAnsi"/>
          <w:sz w:val="22"/>
          <w:szCs w:val="22"/>
        </w:rPr>
        <w:t>)</w:t>
      </w:r>
      <w:r w:rsidR="00760B36">
        <w:rPr>
          <w:rFonts w:asciiTheme="minorHAnsi" w:hAnsiTheme="minorHAnsi" w:cstheme="minorHAnsi"/>
          <w:sz w:val="22"/>
          <w:szCs w:val="22"/>
        </w:rPr>
        <w:t>.</w:t>
      </w:r>
      <w:r>
        <w:rPr>
          <w:rFonts w:asciiTheme="minorHAnsi" w:hAnsiTheme="minorHAnsi" w:cstheme="minorHAnsi"/>
          <w:sz w:val="22"/>
          <w:szCs w:val="22"/>
        </w:rPr>
        <w:t xml:space="preserve">  The highest </w:t>
      </w:r>
      <w:r w:rsidR="002F1093">
        <w:rPr>
          <w:rFonts w:asciiTheme="minorHAnsi" w:hAnsiTheme="minorHAnsi" w:cstheme="minorHAnsi"/>
          <w:sz w:val="22"/>
          <w:szCs w:val="22"/>
        </w:rPr>
        <w:t xml:space="preserve">level of </w:t>
      </w:r>
      <w:r>
        <w:rPr>
          <w:rFonts w:asciiTheme="minorHAnsi" w:hAnsiTheme="minorHAnsi" w:cstheme="minorHAnsi"/>
          <w:sz w:val="22"/>
          <w:szCs w:val="22"/>
        </w:rPr>
        <w:t>awareness of each STI occurred among respondents in the Belfast Trust.</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Just over half of all respondents were aware of all six of the selected STIs (54%), with a further 15% being aware of five of the STIs, however 8% were not aware of any of the STIs</w:t>
      </w:r>
      <w:r w:rsidR="004314B8">
        <w:rPr>
          <w:rFonts w:asciiTheme="minorHAnsi" w:hAnsiTheme="minorHAnsi" w:cstheme="minorHAnsi"/>
          <w:sz w:val="22"/>
          <w:szCs w:val="22"/>
        </w:rPr>
        <w:t xml:space="preserve"> whatsoever</w:t>
      </w:r>
      <w:r>
        <w:rPr>
          <w:rFonts w:asciiTheme="minorHAnsi" w:hAnsiTheme="minorHAnsi" w:cstheme="minorHAnsi"/>
          <w:sz w:val="22"/>
          <w:szCs w:val="22"/>
        </w:rPr>
        <w:t>.</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All of those who were stated that they were aware of an STI</w:t>
      </w:r>
      <w:r w:rsidRPr="00667167">
        <w:rPr>
          <w:rFonts w:asciiTheme="minorHAnsi" w:hAnsiTheme="minorHAnsi" w:cstheme="minorHAnsi"/>
          <w:sz w:val="22"/>
          <w:szCs w:val="22"/>
        </w:rPr>
        <w:t xml:space="preserve"> </w:t>
      </w:r>
      <w:r w:rsidRPr="00852639">
        <w:rPr>
          <w:rFonts w:asciiTheme="minorHAnsi" w:hAnsiTheme="minorHAnsi" w:cstheme="minorHAnsi"/>
          <w:sz w:val="22"/>
          <w:szCs w:val="22"/>
        </w:rPr>
        <w:t xml:space="preserve">were then asked further questions about each </w:t>
      </w:r>
      <w:r>
        <w:rPr>
          <w:rFonts w:asciiTheme="minorHAnsi" w:hAnsiTheme="minorHAnsi" w:cstheme="minorHAnsi"/>
          <w:sz w:val="22"/>
          <w:szCs w:val="22"/>
        </w:rPr>
        <w:t xml:space="preserve">individual </w:t>
      </w:r>
      <w:r w:rsidRPr="00852639">
        <w:rPr>
          <w:rFonts w:asciiTheme="minorHAnsi" w:hAnsiTheme="minorHAnsi" w:cstheme="minorHAnsi"/>
          <w:sz w:val="22"/>
          <w:szCs w:val="22"/>
        </w:rPr>
        <w:t xml:space="preserve">STI they </w:t>
      </w:r>
      <w:r>
        <w:rPr>
          <w:rFonts w:asciiTheme="minorHAnsi" w:hAnsiTheme="minorHAnsi" w:cstheme="minorHAnsi"/>
          <w:sz w:val="22"/>
          <w:szCs w:val="22"/>
        </w:rPr>
        <w:t>were aware of</w:t>
      </w:r>
      <w:r w:rsidRPr="00852639">
        <w:rPr>
          <w:rFonts w:asciiTheme="minorHAnsi" w:hAnsiTheme="minorHAnsi" w:cstheme="minorHAnsi"/>
          <w:sz w:val="22"/>
          <w:szCs w:val="22"/>
        </w:rPr>
        <w:t>.</w:t>
      </w:r>
      <w:r w:rsidR="009B008C">
        <w:rPr>
          <w:rFonts w:asciiTheme="minorHAnsi" w:hAnsiTheme="minorHAnsi" w:cstheme="minorHAnsi"/>
          <w:sz w:val="22"/>
          <w:szCs w:val="22"/>
        </w:rPr>
        <w:t xml:space="preserve">  Details of the questions asked are available in the tables section of this report</w:t>
      </w:r>
      <w:r w:rsidR="008624F5">
        <w:rPr>
          <w:rFonts w:asciiTheme="minorHAnsi" w:hAnsiTheme="minorHAnsi" w:cstheme="minorHAnsi"/>
          <w:sz w:val="22"/>
          <w:szCs w:val="22"/>
        </w:rPr>
        <w:t xml:space="preserve">. </w:t>
      </w:r>
    </w:p>
    <w:p w:rsidR="00760B36" w:rsidRPr="00002695" w:rsidRDefault="00760B36" w:rsidP="00EB0AC3">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Chlamydia</w:t>
      </w:r>
    </w:p>
    <w:p w:rsidR="00760B36" w:rsidRDefault="009B008C"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Almost a third</w:t>
      </w:r>
      <w:r w:rsidR="00760B36" w:rsidRPr="00852639">
        <w:rPr>
          <w:rFonts w:asciiTheme="minorHAnsi" w:hAnsiTheme="minorHAnsi" w:cstheme="minorHAnsi"/>
          <w:sz w:val="22"/>
          <w:szCs w:val="22"/>
        </w:rPr>
        <w:t xml:space="preserve"> of </w:t>
      </w:r>
      <w:r>
        <w:rPr>
          <w:rFonts w:asciiTheme="minorHAnsi" w:hAnsiTheme="minorHAnsi" w:cstheme="minorHAnsi"/>
          <w:sz w:val="22"/>
          <w:szCs w:val="22"/>
        </w:rPr>
        <w:t>respondents (</w:t>
      </w:r>
      <w:r w:rsidR="00760B36" w:rsidRPr="00852639">
        <w:rPr>
          <w:rFonts w:asciiTheme="minorHAnsi" w:hAnsiTheme="minorHAnsi" w:cstheme="minorHAnsi"/>
          <w:sz w:val="22"/>
          <w:szCs w:val="22"/>
        </w:rPr>
        <w:t>3</w:t>
      </w:r>
      <w:r w:rsidR="00760B36">
        <w:rPr>
          <w:rFonts w:asciiTheme="minorHAnsi" w:hAnsiTheme="minorHAnsi" w:cstheme="minorHAnsi"/>
          <w:sz w:val="22"/>
          <w:szCs w:val="22"/>
        </w:rPr>
        <w:t>1</w:t>
      </w:r>
      <w:r w:rsidR="00760B36" w:rsidRPr="00852639">
        <w:rPr>
          <w:rFonts w:asciiTheme="minorHAnsi" w:hAnsiTheme="minorHAnsi" w:cstheme="minorHAnsi"/>
          <w:sz w:val="22"/>
          <w:szCs w:val="22"/>
        </w:rPr>
        <w:t>%</w:t>
      </w:r>
      <w:r>
        <w:rPr>
          <w:rFonts w:asciiTheme="minorHAnsi" w:hAnsiTheme="minorHAnsi" w:cstheme="minorHAnsi"/>
          <w:sz w:val="22"/>
          <w:szCs w:val="22"/>
        </w:rPr>
        <w:t>)</w:t>
      </w:r>
      <w:r w:rsidR="00760B36" w:rsidRPr="00852639">
        <w:rPr>
          <w:rFonts w:asciiTheme="minorHAnsi" w:hAnsiTheme="minorHAnsi" w:cstheme="minorHAnsi"/>
          <w:sz w:val="22"/>
          <w:szCs w:val="22"/>
        </w:rPr>
        <w:t xml:space="preserve"> gave the corre</w:t>
      </w:r>
      <w:r>
        <w:rPr>
          <w:rFonts w:asciiTheme="minorHAnsi" w:hAnsiTheme="minorHAnsi" w:cstheme="minorHAnsi"/>
          <w:sz w:val="22"/>
          <w:szCs w:val="22"/>
        </w:rPr>
        <w:t>ct answer to all four questions</w:t>
      </w:r>
      <w:r w:rsidR="002F1093">
        <w:rPr>
          <w:rFonts w:asciiTheme="minorHAnsi" w:hAnsiTheme="minorHAnsi" w:cstheme="minorHAnsi"/>
          <w:sz w:val="22"/>
          <w:szCs w:val="22"/>
        </w:rPr>
        <w:t xml:space="preserve"> asked</w:t>
      </w:r>
      <w:r w:rsidR="002F1093" w:rsidRPr="002F1093">
        <w:rPr>
          <w:rFonts w:asciiTheme="minorHAnsi" w:hAnsiTheme="minorHAnsi" w:cstheme="minorHAnsi"/>
          <w:sz w:val="22"/>
          <w:szCs w:val="22"/>
        </w:rPr>
        <w:t xml:space="preserve"> </w:t>
      </w:r>
      <w:r w:rsidR="002F1093">
        <w:rPr>
          <w:rFonts w:asciiTheme="minorHAnsi" w:hAnsiTheme="minorHAnsi" w:cstheme="minorHAnsi"/>
          <w:sz w:val="22"/>
          <w:szCs w:val="22"/>
        </w:rPr>
        <w:t>about Chlamydia</w:t>
      </w:r>
      <w:r w:rsidR="00760B36" w:rsidRPr="00852639">
        <w:rPr>
          <w:rFonts w:asciiTheme="minorHAnsi" w:hAnsiTheme="minorHAnsi" w:cstheme="minorHAnsi"/>
          <w:sz w:val="22"/>
          <w:szCs w:val="22"/>
        </w:rPr>
        <w:t>.</w:t>
      </w:r>
    </w:p>
    <w:p w:rsidR="009B008C" w:rsidRDefault="009B008C" w:rsidP="00002695">
      <w:pPr>
        <w:tabs>
          <w:tab w:val="left" w:pos="-180"/>
        </w:tabs>
        <w:suppressAutoHyphens/>
        <w:spacing w:after="120" w:line="288" w:lineRule="auto"/>
        <w:rPr>
          <w:rFonts w:asciiTheme="minorHAnsi" w:hAnsiTheme="minorHAnsi" w:cstheme="minorHAnsi"/>
          <w:sz w:val="22"/>
          <w:szCs w:val="22"/>
        </w:rPr>
      </w:pPr>
      <w:bookmarkStart w:id="52" w:name="OLE_LINK3"/>
      <w:bookmarkStart w:id="53" w:name="OLE_LINK4"/>
      <w:r>
        <w:rPr>
          <w:rFonts w:asciiTheme="minorHAnsi" w:hAnsiTheme="minorHAnsi" w:cstheme="minorHAnsi"/>
          <w:sz w:val="22"/>
          <w:szCs w:val="22"/>
        </w:rPr>
        <w:t xml:space="preserve">Two-thirds of females (65%) answered three or more questions correctly.  This compared with over half of males (54%).  </w:t>
      </w:r>
      <w:bookmarkEnd w:id="52"/>
      <w:bookmarkEnd w:id="53"/>
      <w:r>
        <w:rPr>
          <w:rFonts w:asciiTheme="minorHAnsi" w:hAnsiTheme="minorHAnsi" w:cstheme="minorHAnsi"/>
          <w:sz w:val="22"/>
          <w:szCs w:val="22"/>
        </w:rPr>
        <w:t xml:space="preserve">More than two-thirds of respondents (70%) living in the Belfast Trust area gave at least three correct responses compared with 52% in the Western Trust area.  Two-thirds of those in the most deprived areas </w:t>
      </w:r>
      <w:r w:rsidR="00695E1E">
        <w:rPr>
          <w:rFonts w:asciiTheme="minorHAnsi" w:hAnsiTheme="minorHAnsi" w:cstheme="minorHAnsi"/>
          <w:sz w:val="22"/>
          <w:szCs w:val="22"/>
        </w:rPr>
        <w:t>(66%) similarly gave</w:t>
      </w:r>
      <w:r>
        <w:rPr>
          <w:rFonts w:asciiTheme="minorHAnsi" w:hAnsiTheme="minorHAnsi" w:cstheme="minorHAnsi"/>
          <w:sz w:val="22"/>
          <w:szCs w:val="22"/>
        </w:rPr>
        <w:t xml:space="preserve"> at least three correct </w:t>
      </w:r>
      <w:r w:rsidR="00695E1E">
        <w:rPr>
          <w:rFonts w:asciiTheme="minorHAnsi" w:hAnsiTheme="minorHAnsi" w:cstheme="minorHAnsi"/>
          <w:sz w:val="22"/>
          <w:szCs w:val="22"/>
        </w:rPr>
        <w:t xml:space="preserve">responses </w:t>
      </w:r>
      <w:r>
        <w:rPr>
          <w:rFonts w:asciiTheme="minorHAnsi" w:hAnsiTheme="minorHAnsi" w:cstheme="minorHAnsi"/>
          <w:sz w:val="22"/>
          <w:szCs w:val="22"/>
        </w:rPr>
        <w:t xml:space="preserve">compared with </w:t>
      </w:r>
      <w:r w:rsidR="00741DAB">
        <w:rPr>
          <w:rFonts w:asciiTheme="minorHAnsi" w:hAnsiTheme="minorHAnsi" w:cstheme="minorHAnsi"/>
          <w:sz w:val="22"/>
          <w:szCs w:val="22"/>
        </w:rPr>
        <w:t>62</w:t>
      </w:r>
      <w:r>
        <w:rPr>
          <w:rFonts w:asciiTheme="minorHAnsi" w:hAnsiTheme="minorHAnsi" w:cstheme="minorHAnsi"/>
          <w:sz w:val="22"/>
          <w:szCs w:val="22"/>
        </w:rPr>
        <w:t xml:space="preserve">% of those in </w:t>
      </w:r>
      <w:r w:rsidR="00695E1E">
        <w:rPr>
          <w:rFonts w:asciiTheme="minorHAnsi" w:hAnsiTheme="minorHAnsi" w:cstheme="minorHAnsi"/>
          <w:sz w:val="22"/>
          <w:szCs w:val="22"/>
        </w:rPr>
        <w:t>the least</w:t>
      </w:r>
      <w:r>
        <w:rPr>
          <w:rFonts w:asciiTheme="minorHAnsi" w:hAnsiTheme="minorHAnsi" w:cstheme="minorHAnsi"/>
          <w:sz w:val="22"/>
          <w:szCs w:val="22"/>
        </w:rPr>
        <w:t xml:space="preserve"> depriv</w:t>
      </w:r>
      <w:r w:rsidR="00695E1E">
        <w:rPr>
          <w:rFonts w:asciiTheme="minorHAnsi" w:hAnsiTheme="minorHAnsi" w:cstheme="minorHAnsi"/>
          <w:sz w:val="22"/>
          <w:szCs w:val="22"/>
        </w:rPr>
        <w:t>ed</w:t>
      </w:r>
      <w:r>
        <w:rPr>
          <w:rFonts w:asciiTheme="minorHAnsi" w:hAnsiTheme="minorHAnsi" w:cstheme="minorHAnsi"/>
          <w:sz w:val="22"/>
          <w:szCs w:val="22"/>
        </w:rPr>
        <w:t xml:space="preserve"> areas.</w:t>
      </w:r>
    </w:p>
    <w:p w:rsidR="00695E1E" w:rsidRPr="00002695" w:rsidRDefault="00695E1E" w:rsidP="00EB0AC3">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Gonorrhoea</w:t>
      </w:r>
    </w:p>
    <w:p w:rsidR="00695E1E" w:rsidRDefault="00695E1E"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 a</w:t>
      </w:r>
      <w:r w:rsidRPr="00852639">
        <w:rPr>
          <w:rFonts w:asciiTheme="minorHAnsi" w:hAnsiTheme="minorHAnsi" w:cstheme="minorHAnsi"/>
          <w:sz w:val="22"/>
          <w:szCs w:val="22"/>
        </w:rPr>
        <w:t xml:space="preserve"> total of </w:t>
      </w:r>
      <w:r>
        <w:rPr>
          <w:rFonts w:asciiTheme="minorHAnsi" w:hAnsiTheme="minorHAnsi" w:cstheme="minorHAnsi"/>
          <w:sz w:val="22"/>
          <w:szCs w:val="22"/>
        </w:rPr>
        <w:t>18</w:t>
      </w:r>
      <w:r w:rsidRPr="00852639">
        <w:rPr>
          <w:rFonts w:asciiTheme="minorHAnsi" w:hAnsiTheme="minorHAnsi" w:cstheme="minorHAnsi"/>
          <w:sz w:val="22"/>
          <w:szCs w:val="22"/>
        </w:rPr>
        <w:t>% gave the correct answer to all four questions</w:t>
      </w:r>
      <w:r w:rsidR="002F1093" w:rsidRPr="002F1093">
        <w:rPr>
          <w:rFonts w:asciiTheme="minorHAnsi" w:hAnsiTheme="minorHAnsi" w:cstheme="minorHAnsi"/>
          <w:sz w:val="22"/>
          <w:szCs w:val="22"/>
        </w:rPr>
        <w:t xml:space="preserve"> </w:t>
      </w:r>
      <w:r w:rsidR="002F1093">
        <w:rPr>
          <w:rFonts w:asciiTheme="minorHAnsi" w:hAnsiTheme="minorHAnsi" w:cstheme="minorHAnsi"/>
          <w:sz w:val="22"/>
          <w:szCs w:val="22"/>
        </w:rPr>
        <w:t>asked about Gonorrhoea</w:t>
      </w:r>
      <w:r w:rsidRPr="00852639">
        <w:rPr>
          <w:rFonts w:asciiTheme="minorHAnsi" w:hAnsiTheme="minorHAnsi" w:cstheme="minorHAnsi"/>
          <w:sz w:val="22"/>
          <w:szCs w:val="22"/>
        </w:rPr>
        <w:t xml:space="preserve">, with </w:t>
      </w:r>
      <w:r>
        <w:rPr>
          <w:rFonts w:asciiTheme="minorHAnsi" w:hAnsiTheme="minorHAnsi" w:cstheme="minorHAnsi"/>
          <w:sz w:val="22"/>
          <w:szCs w:val="22"/>
        </w:rPr>
        <w:t>a further 24</w:t>
      </w:r>
      <w:r w:rsidRPr="00852639">
        <w:rPr>
          <w:rFonts w:asciiTheme="minorHAnsi" w:hAnsiTheme="minorHAnsi" w:cstheme="minorHAnsi"/>
          <w:sz w:val="22"/>
          <w:szCs w:val="22"/>
        </w:rPr>
        <w:t>% getting three correct.</w:t>
      </w:r>
    </w:p>
    <w:p w:rsidR="00695E1E" w:rsidRDefault="00695E1E"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Knowledge about Gonorrhoea was highest in the Belfast Trust area with over half (52%) getting at least three answers correct compared with 37% in the Southern Trust area.  </w:t>
      </w:r>
      <w:r w:rsidR="002F1093">
        <w:rPr>
          <w:rFonts w:asciiTheme="minorHAnsi" w:hAnsiTheme="minorHAnsi" w:cstheme="minorHAnsi"/>
          <w:sz w:val="22"/>
          <w:szCs w:val="22"/>
        </w:rPr>
        <w:t>Almost half of</w:t>
      </w:r>
      <w:r>
        <w:rPr>
          <w:rFonts w:asciiTheme="minorHAnsi" w:hAnsiTheme="minorHAnsi" w:cstheme="minorHAnsi"/>
          <w:sz w:val="22"/>
          <w:szCs w:val="22"/>
        </w:rPr>
        <w:t xml:space="preserve"> respondents in the most deprived areas (46%), compared with </w:t>
      </w:r>
      <w:r w:rsidR="00E1389C">
        <w:rPr>
          <w:rFonts w:asciiTheme="minorHAnsi" w:hAnsiTheme="minorHAnsi" w:cstheme="minorHAnsi"/>
          <w:sz w:val="22"/>
          <w:szCs w:val="22"/>
        </w:rPr>
        <w:t>two-fifths</w:t>
      </w:r>
      <w:r>
        <w:rPr>
          <w:rFonts w:asciiTheme="minorHAnsi" w:hAnsiTheme="minorHAnsi" w:cstheme="minorHAnsi"/>
          <w:sz w:val="22"/>
          <w:szCs w:val="22"/>
        </w:rPr>
        <w:t xml:space="preserve"> of those in other deprivation quintiles</w:t>
      </w:r>
      <w:r w:rsidR="00E1389C">
        <w:rPr>
          <w:rFonts w:asciiTheme="minorHAnsi" w:hAnsiTheme="minorHAnsi" w:cstheme="minorHAnsi"/>
          <w:sz w:val="22"/>
          <w:szCs w:val="22"/>
        </w:rPr>
        <w:t xml:space="preserve"> g</w:t>
      </w:r>
      <w:r w:rsidR="002F1093">
        <w:rPr>
          <w:rFonts w:asciiTheme="minorHAnsi" w:hAnsiTheme="minorHAnsi" w:cstheme="minorHAnsi"/>
          <w:sz w:val="22"/>
          <w:szCs w:val="22"/>
        </w:rPr>
        <w:t>ot</w:t>
      </w:r>
      <w:r w:rsidR="00E1389C">
        <w:rPr>
          <w:rFonts w:asciiTheme="minorHAnsi" w:hAnsiTheme="minorHAnsi" w:cstheme="minorHAnsi"/>
          <w:sz w:val="22"/>
          <w:szCs w:val="22"/>
        </w:rPr>
        <w:t xml:space="preserve"> at least three correct responses</w:t>
      </w:r>
      <w:r>
        <w:rPr>
          <w:rFonts w:asciiTheme="minorHAnsi" w:hAnsiTheme="minorHAnsi" w:cstheme="minorHAnsi"/>
          <w:sz w:val="22"/>
          <w:szCs w:val="22"/>
        </w:rPr>
        <w:t>.</w:t>
      </w:r>
    </w:p>
    <w:p w:rsidR="00760B36" w:rsidRPr="00002695" w:rsidRDefault="00760B36" w:rsidP="00002695">
      <w:pPr>
        <w:tabs>
          <w:tab w:val="left" w:pos="-180"/>
        </w:tabs>
        <w:suppressAutoHyphens/>
        <w:spacing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Syphilis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 just</w:t>
      </w:r>
      <w:r w:rsidRPr="00852639">
        <w:rPr>
          <w:rFonts w:asciiTheme="minorHAnsi" w:hAnsiTheme="minorHAnsi" w:cstheme="minorHAnsi"/>
          <w:sz w:val="22"/>
          <w:szCs w:val="22"/>
        </w:rPr>
        <w:t xml:space="preserve"> </w:t>
      </w:r>
      <w:r>
        <w:rPr>
          <w:rFonts w:asciiTheme="minorHAnsi" w:hAnsiTheme="minorHAnsi" w:cstheme="minorHAnsi"/>
          <w:sz w:val="22"/>
          <w:szCs w:val="22"/>
        </w:rPr>
        <w:t>4</w:t>
      </w:r>
      <w:r w:rsidRPr="00852639">
        <w:rPr>
          <w:rFonts w:asciiTheme="minorHAnsi" w:hAnsiTheme="minorHAnsi" w:cstheme="minorHAnsi"/>
          <w:sz w:val="22"/>
          <w:szCs w:val="22"/>
        </w:rPr>
        <w:t xml:space="preserve">% </w:t>
      </w:r>
      <w:r>
        <w:rPr>
          <w:rFonts w:asciiTheme="minorHAnsi" w:hAnsiTheme="minorHAnsi" w:cstheme="minorHAnsi"/>
          <w:sz w:val="22"/>
          <w:szCs w:val="22"/>
        </w:rPr>
        <w:t xml:space="preserve">of respondents </w:t>
      </w:r>
      <w:r w:rsidRPr="00852639">
        <w:rPr>
          <w:rFonts w:asciiTheme="minorHAnsi" w:hAnsiTheme="minorHAnsi" w:cstheme="minorHAnsi"/>
          <w:sz w:val="22"/>
          <w:szCs w:val="22"/>
        </w:rPr>
        <w:t>gave the corre</w:t>
      </w:r>
      <w:r w:rsidR="00E1389C">
        <w:rPr>
          <w:rFonts w:asciiTheme="minorHAnsi" w:hAnsiTheme="minorHAnsi" w:cstheme="minorHAnsi"/>
          <w:sz w:val="22"/>
          <w:szCs w:val="22"/>
        </w:rPr>
        <w:t>ct answer to all four questions</w:t>
      </w:r>
      <w:r w:rsidRPr="00852639">
        <w:rPr>
          <w:rFonts w:asciiTheme="minorHAnsi" w:hAnsiTheme="minorHAnsi" w:cstheme="minorHAnsi"/>
          <w:sz w:val="22"/>
          <w:szCs w:val="22"/>
        </w:rPr>
        <w:t xml:space="preserve"> </w:t>
      </w:r>
      <w:r w:rsidR="003C7526">
        <w:rPr>
          <w:rFonts w:asciiTheme="minorHAnsi" w:hAnsiTheme="minorHAnsi" w:cstheme="minorHAnsi"/>
          <w:sz w:val="22"/>
          <w:szCs w:val="22"/>
        </w:rPr>
        <w:t xml:space="preserve">asked about Syphilis </w:t>
      </w:r>
      <w:r w:rsidRPr="00852639">
        <w:rPr>
          <w:rFonts w:asciiTheme="minorHAnsi" w:hAnsiTheme="minorHAnsi" w:cstheme="minorHAnsi"/>
          <w:sz w:val="22"/>
          <w:szCs w:val="22"/>
        </w:rPr>
        <w:t xml:space="preserve">with </w:t>
      </w:r>
      <w:r>
        <w:rPr>
          <w:rFonts w:asciiTheme="minorHAnsi" w:hAnsiTheme="minorHAnsi" w:cstheme="minorHAnsi"/>
          <w:sz w:val="22"/>
          <w:szCs w:val="22"/>
        </w:rPr>
        <w:t>18</w:t>
      </w:r>
      <w:r w:rsidRPr="00852639">
        <w:rPr>
          <w:rFonts w:asciiTheme="minorHAnsi" w:hAnsiTheme="minorHAnsi" w:cstheme="minorHAnsi"/>
          <w:sz w:val="22"/>
          <w:szCs w:val="22"/>
        </w:rPr>
        <w:t>% getting three correct.</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Females were more knowledgeable about Syphilis than males with 24% of females and 19% of males getting at least three correct.  Over one</w:t>
      </w:r>
      <w:r w:rsidR="002F1093">
        <w:rPr>
          <w:rFonts w:asciiTheme="minorHAnsi" w:hAnsiTheme="minorHAnsi" w:cstheme="minorHAnsi"/>
          <w:sz w:val="22"/>
          <w:szCs w:val="22"/>
        </w:rPr>
        <w:t>-</w:t>
      </w:r>
      <w:r>
        <w:rPr>
          <w:rFonts w:asciiTheme="minorHAnsi" w:hAnsiTheme="minorHAnsi" w:cstheme="minorHAnsi"/>
          <w:sz w:val="22"/>
          <w:szCs w:val="22"/>
        </w:rPr>
        <w:t>quarter of those in the Belfast Trust area (26%) got at least three correct compared with 20% in the</w:t>
      </w:r>
      <w:r w:rsidR="00E1389C">
        <w:rPr>
          <w:rFonts w:asciiTheme="minorHAnsi" w:hAnsiTheme="minorHAnsi" w:cstheme="minorHAnsi"/>
          <w:sz w:val="22"/>
          <w:szCs w:val="22"/>
        </w:rPr>
        <w:t xml:space="preserve"> Southern</w:t>
      </w:r>
      <w:r>
        <w:rPr>
          <w:rFonts w:asciiTheme="minorHAnsi" w:hAnsiTheme="minorHAnsi" w:cstheme="minorHAnsi"/>
          <w:sz w:val="22"/>
          <w:szCs w:val="22"/>
        </w:rPr>
        <w:t xml:space="preserve"> Trust area.</w:t>
      </w:r>
    </w:p>
    <w:p w:rsidR="00760B36" w:rsidRPr="00002695" w:rsidRDefault="00760B36" w:rsidP="00EB0AC3">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Genital Herpes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 a</w:t>
      </w:r>
      <w:r w:rsidRPr="00852639">
        <w:rPr>
          <w:rFonts w:asciiTheme="minorHAnsi" w:hAnsiTheme="minorHAnsi" w:cstheme="minorHAnsi"/>
          <w:sz w:val="22"/>
          <w:szCs w:val="22"/>
        </w:rPr>
        <w:t xml:space="preserve"> total of </w:t>
      </w:r>
      <w:r>
        <w:rPr>
          <w:rFonts w:asciiTheme="minorHAnsi" w:hAnsiTheme="minorHAnsi" w:cstheme="minorHAnsi"/>
          <w:sz w:val="22"/>
          <w:szCs w:val="22"/>
        </w:rPr>
        <w:t>13</w:t>
      </w:r>
      <w:r w:rsidRPr="00852639">
        <w:rPr>
          <w:rFonts w:asciiTheme="minorHAnsi" w:hAnsiTheme="minorHAnsi" w:cstheme="minorHAnsi"/>
          <w:sz w:val="22"/>
          <w:szCs w:val="22"/>
        </w:rPr>
        <w:t>% gave the corre</w:t>
      </w:r>
      <w:r w:rsidR="00E1389C">
        <w:rPr>
          <w:rFonts w:asciiTheme="minorHAnsi" w:hAnsiTheme="minorHAnsi" w:cstheme="minorHAnsi"/>
          <w:sz w:val="22"/>
          <w:szCs w:val="22"/>
        </w:rPr>
        <w:t>ct answer to all four questions</w:t>
      </w:r>
      <w:r w:rsidRPr="00852639">
        <w:rPr>
          <w:rFonts w:asciiTheme="minorHAnsi" w:hAnsiTheme="minorHAnsi" w:cstheme="minorHAnsi"/>
          <w:sz w:val="22"/>
          <w:szCs w:val="22"/>
        </w:rPr>
        <w:t xml:space="preserve"> </w:t>
      </w:r>
      <w:r w:rsidR="003C7526">
        <w:rPr>
          <w:rFonts w:asciiTheme="minorHAnsi" w:hAnsiTheme="minorHAnsi" w:cstheme="minorHAnsi"/>
          <w:sz w:val="22"/>
          <w:szCs w:val="22"/>
        </w:rPr>
        <w:t xml:space="preserve">asked about Genital Herpes </w:t>
      </w:r>
      <w:r w:rsidRPr="00852639">
        <w:rPr>
          <w:rFonts w:asciiTheme="minorHAnsi" w:hAnsiTheme="minorHAnsi" w:cstheme="minorHAnsi"/>
          <w:sz w:val="22"/>
          <w:szCs w:val="22"/>
        </w:rPr>
        <w:t xml:space="preserve">with </w:t>
      </w:r>
      <w:r w:rsidR="00E1389C">
        <w:rPr>
          <w:rFonts w:asciiTheme="minorHAnsi" w:hAnsiTheme="minorHAnsi" w:cstheme="minorHAnsi"/>
          <w:sz w:val="22"/>
          <w:szCs w:val="22"/>
        </w:rPr>
        <w:t xml:space="preserve">a further </w:t>
      </w:r>
      <w:r>
        <w:rPr>
          <w:rFonts w:asciiTheme="minorHAnsi" w:hAnsiTheme="minorHAnsi" w:cstheme="minorHAnsi"/>
          <w:sz w:val="22"/>
          <w:szCs w:val="22"/>
        </w:rPr>
        <w:t>40</w:t>
      </w:r>
      <w:r w:rsidRPr="00852639">
        <w:rPr>
          <w:rFonts w:asciiTheme="minorHAnsi" w:hAnsiTheme="minorHAnsi" w:cstheme="minorHAnsi"/>
          <w:sz w:val="22"/>
          <w:szCs w:val="22"/>
        </w:rPr>
        <w:t>% getting three correct.</w:t>
      </w:r>
    </w:p>
    <w:p w:rsidR="00760B36" w:rsidRDefault="000A0B8E"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Three-fifths of respondents</w:t>
      </w:r>
      <w:r w:rsidR="00760B36">
        <w:rPr>
          <w:rFonts w:asciiTheme="minorHAnsi" w:hAnsiTheme="minorHAnsi" w:cstheme="minorHAnsi"/>
          <w:sz w:val="22"/>
          <w:szCs w:val="22"/>
        </w:rPr>
        <w:t xml:space="preserve"> in the Belfast and Southern Trust areas </w:t>
      </w:r>
      <w:r>
        <w:rPr>
          <w:rFonts w:asciiTheme="minorHAnsi" w:hAnsiTheme="minorHAnsi" w:cstheme="minorHAnsi"/>
          <w:sz w:val="22"/>
          <w:szCs w:val="22"/>
        </w:rPr>
        <w:t>(59%) got</w:t>
      </w:r>
      <w:r w:rsidR="00760B36">
        <w:rPr>
          <w:rFonts w:asciiTheme="minorHAnsi" w:hAnsiTheme="minorHAnsi" w:cstheme="minorHAnsi"/>
          <w:sz w:val="22"/>
          <w:szCs w:val="22"/>
        </w:rPr>
        <w:t xml:space="preserve"> at least three correct </w:t>
      </w:r>
      <w:r>
        <w:rPr>
          <w:rFonts w:asciiTheme="minorHAnsi" w:hAnsiTheme="minorHAnsi" w:cstheme="minorHAnsi"/>
          <w:sz w:val="22"/>
          <w:szCs w:val="22"/>
        </w:rPr>
        <w:t xml:space="preserve">which </w:t>
      </w:r>
      <w:r w:rsidR="00760B36">
        <w:rPr>
          <w:rFonts w:asciiTheme="minorHAnsi" w:hAnsiTheme="minorHAnsi" w:cstheme="minorHAnsi"/>
          <w:sz w:val="22"/>
          <w:szCs w:val="22"/>
        </w:rPr>
        <w:t xml:space="preserve">compared with 44% in the Western Trust.  </w:t>
      </w:r>
    </w:p>
    <w:p w:rsidR="00760B36" w:rsidRPr="00002695" w:rsidRDefault="00760B36" w:rsidP="00EB0AC3">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Genital Warts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Knowledge about Genital Warts was low with only 6</w:t>
      </w:r>
      <w:r w:rsidRPr="00852639">
        <w:rPr>
          <w:rFonts w:asciiTheme="minorHAnsi" w:hAnsiTheme="minorHAnsi" w:cstheme="minorHAnsi"/>
          <w:sz w:val="22"/>
          <w:szCs w:val="22"/>
        </w:rPr>
        <w:t>% g</w:t>
      </w:r>
      <w:r>
        <w:rPr>
          <w:rFonts w:asciiTheme="minorHAnsi" w:hAnsiTheme="minorHAnsi" w:cstheme="minorHAnsi"/>
          <w:sz w:val="22"/>
          <w:szCs w:val="22"/>
        </w:rPr>
        <w:t>i</w:t>
      </w:r>
      <w:r w:rsidRPr="00852639">
        <w:rPr>
          <w:rFonts w:asciiTheme="minorHAnsi" w:hAnsiTheme="minorHAnsi" w:cstheme="minorHAnsi"/>
          <w:sz w:val="22"/>
          <w:szCs w:val="22"/>
        </w:rPr>
        <w:t>v</w:t>
      </w:r>
      <w:r>
        <w:rPr>
          <w:rFonts w:asciiTheme="minorHAnsi" w:hAnsiTheme="minorHAnsi" w:cstheme="minorHAnsi"/>
          <w:sz w:val="22"/>
          <w:szCs w:val="22"/>
        </w:rPr>
        <w:t>ing</w:t>
      </w:r>
      <w:r w:rsidRPr="00852639">
        <w:rPr>
          <w:rFonts w:asciiTheme="minorHAnsi" w:hAnsiTheme="minorHAnsi" w:cstheme="minorHAnsi"/>
          <w:sz w:val="22"/>
          <w:szCs w:val="22"/>
        </w:rPr>
        <w:t xml:space="preserve"> the correct answer to all </w:t>
      </w:r>
      <w:r>
        <w:rPr>
          <w:rFonts w:asciiTheme="minorHAnsi" w:hAnsiTheme="minorHAnsi" w:cstheme="minorHAnsi"/>
          <w:sz w:val="22"/>
          <w:szCs w:val="22"/>
        </w:rPr>
        <w:t xml:space="preserve">three </w:t>
      </w:r>
      <w:r w:rsidRPr="00852639">
        <w:rPr>
          <w:rFonts w:asciiTheme="minorHAnsi" w:hAnsiTheme="minorHAnsi" w:cstheme="minorHAnsi"/>
          <w:sz w:val="22"/>
          <w:szCs w:val="22"/>
        </w:rPr>
        <w:t xml:space="preserve">questions, </w:t>
      </w:r>
      <w:r>
        <w:rPr>
          <w:rFonts w:asciiTheme="minorHAnsi" w:hAnsiTheme="minorHAnsi" w:cstheme="minorHAnsi"/>
          <w:sz w:val="22"/>
          <w:szCs w:val="22"/>
        </w:rPr>
        <w:t>13</w:t>
      </w:r>
      <w:r w:rsidRPr="00852639">
        <w:rPr>
          <w:rFonts w:asciiTheme="minorHAnsi" w:hAnsiTheme="minorHAnsi" w:cstheme="minorHAnsi"/>
          <w:sz w:val="22"/>
          <w:szCs w:val="22"/>
        </w:rPr>
        <w:t>% getting t</w:t>
      </w:r>
      <w:r>
        <w:rPr>
          <w:rFonts w:asciiTheme="minorHAnsi" w:hAnsiTheme="minorHAnsi" w:cstheme="minorHAnsi"/>
          <w:sz w:val="22"/>
          <w:szCs w:val="22"/>
        </w:rPr>
        <w:t>wo</w:t>
      </w:r>
      <w:r w:rsidRPr="00852639">
        <w:rPr>
          <w:rFonts w:asciiTheme="minorHAnsi" w:hAnsiTheme="minorHAnsi" w:cstheme="minorHAnsi"/>
          <w:sz w:val="22"/>
          <w:szCs w:val="22"/>
        </w:rPr>
        <w:t xml:space="preserve"> correct</w:t>
      </w:r>
      <w:r>
        <w:rPr>
          <w:rFonts w:asciiTheme="minorHAnsi" w:hAnsiTheme="minorHAnsi" w:cstheme="minorHAnsi"/>
          <w:sz w:val="22"/>
          <w:szCs w:val="22"/>
        </w:rPr>
        <w:t xml:space="preserve"> and 23% getting one correct</w:t>
      </w:r>
      <w:r w:rsidRPr="00852639">
        <w:rPr>
          <w:rFonts w:asciiTheme="minorHAnsi" w:hAnsiTheme="minorHAnsi" w:cstheme="minorHAnsi"/>
          <w:sz w:val="22"/>
          <w:szCs w:val="22"/>
        </w:rPr>
        <w:t>.</w:t>
      </w:r>
      <w:r>
        <w:rPr>
          <w:rFonts w:asciiTheme="minorHAnsi" w:hAnsiTheme="minorHAnsi" w:cstheme="minorHAnsi"/>
          <w:sz w:val="22"/>
          <w:szCs w:val="22"/>
        </w:rPr>
        <w:t xml:space="preserve">  </w:t>
      </w:r>
      <w:r w:rsidR="000A0B8E">
        <w:rPr>
          <w:rFonts w:asciiTheme="minorHAnsi" w:hAnsiTheme="minorHAnsi" w:cstheme="minorHAnsi"/>
          <w:sz w:val="22"/>
          <w:szCs w:val="22"/>
        </w:rPr>
        <w:t xml:space="preserve">However, it should be noted that </w:t>
      </w:r>
      <w:r>
        <w:rPr>
          <w:rFonts w:asciiTheme="minorHAnsi" w:hAnsiTheme="minorHAnsi" w:cstheme="minorHAnsi"/>
          <w:sz w:val="22"/>
          <w:szCs w:val="22"/>
        </w:rPr>
        <w:t>two-fifths</w:t>
      </w:r>
      <w:r w:rsidR="000A0B8E">
        <w:rPr>
          <w:rFonts w:asciiTheme="minorHAnsi" w:hAnsiTheme="minorHAnsi" w:cstheme="minorHAnsi"/>
          <w:sz w:val="22"/>
          <w:szCs w:val="22"/>
        </w:rPr>
        <w:t xml:space="preserve"> of respondents</w:t>
      </w:r>
      <w:r>
        <w:rPr>
          <w:rFonts w:asciiTheme="minorHAnsi" w:hAnsiTheme="minorHAnsi" w:cstheme="minorHAnsi"/>
          <w:sz w:val="22"/>
          <w:szCs w:val="22"/>
        </w:rPr>
        <w:t xml:space="preserve"> </w:t>
      </w:r>
      <w:r w:rsidR="000A0B8E">
        <w:rPr>
          <w:rFonts w:asciiTheme="minorHAnsi" w:hAnsiTheme="minorHAnsi" w:cstheme="minorHAnsi"/>
          <w:sz w:val="22"/>
          <w:szCs w:val="22"/>
        </w:rPr>
        <w:t xml:space="preserve">(42%) </w:t>
      </w:r>
      <w:r>
        <w:rPr>
          <w:rFonts w:asciiTheme="minorHAnsi" w:hAnsiTheme="minorHAnsi" w:cstheme="minorHAnsi"/>
          <w:sz w:val="22"/>
          <w:szCs w:val="22"/>
        </w:rPr>
        <w:t xml:space="preserve">failed to answer any of the questions </w:t>
      </w:r>
      <w:r w:rsidR="000A0B8E">
        <w:rPr>
          <w:rFonts w:asciiTheme="minorHAnsi" w:hAnsiTheme="minorHAnsi" w:cstheme="minorHAnsi"/>
          <w:sz w:val="22"/>
          <w:szCs w:val="22"/>
        </w:rPr>
        <w:t>whatsoever</w:t>
      </w:r>
      <w:r>
        <w:rPr>
          <w:rFonts w:asciiTheme="minorHAnsi" w:hAnsiTheme="minorHAnsi" w:cstheme="minorHAnsi"/>
          <w:sz w:val="22"/>
          <w:szCs w:val="22"/>
        </w:rPr>
        <w:t>.</w:t>
      </w:r>
    </w:p>
    <w:p w:rsidR="00760B36" w:rsidRPr="00002695" w:rsidRDefault="00760B36" w:rsidP="00EB0AC3">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HIV / AIDS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 just 3</w:t>
      </w:r>
      <w:r w:rsidRPr="00852639">
        <w:rPr>
          <w:rFonts w:asciiTheme="minorHAnsi" w:hAnsiTheme="minorHAnsi" w:cstheme="minorHAnsi"/>
          <w:sz w:val="22"/>
          <w:szCs w:val="22"/>
        </w:rPr>
        <w:t>% gave the corre</w:t>
      </w:r>
      <w:r w:rsidR="000A0B8E">
        <w:rPr>
          <w:rFonts w:asciiTheme="minorHAnsi" w:hAnsiTheme="minorHAnsi" w:cstheme="minorHAnsi"/>
          <w:sz w:val="22"/>
          <w:szCs w:val="22"/>
        </w:rPr>
        <w:t>ct answer to all four questions</w:t>
      </w:r>
      <w:r w:rsidRPr="00852639">
        <w:rPr>
          <w:rFonts w:asciiTheme="minorHAnsi" w:hAnsiTheme="minorHAnsi" w:cstheme="minorHAnsi"/>
          <w:sz w:val="22"/>
          <w:szCs w:val="22"/>
        </w:rPr>
        <w:t xml:space="preserve"> with</w:t>
      </w:r>
      <w:r w:rsidR="000A0B8E">
        <w:rPr>
          <w:rFonts w:asciiTheme="minorHAnsi" w:hAnsiTheme="minorHAnsi" w:cstheme="minorHAnsi"/>
          <w:sz w:val="22"/>
          <w:szCs w:val="22"/>
        </w:rPr>
        <w:t xml:space="preserve"> a further </w:t>
      </w:r>
      <w:r>
        <w:rPr>
          <w:rFonts w:asciiTheme="minorHAnsi" w:hAnsiTheme="minorHAnsi" w:cstheme="minorHAnsi"/>
          <w:sz w:val="22"/>
          <w:szCs w:val="22"/>
        </w:rPr>
        <w:t>17</w:t>
      </w:r>
      <w:r w:rsidRPr="00852639">
        <w:rPr>
          <w:rFonts w:asciiTheme="minorHAnsi" w:hAnsiTheme="minorHAnsi" w:cstheme="minorHAnsi"/>
          <w:sz w:val="22"/>
          <w:szCs w:val="22"/>
        </w:rPr>
        <w:t>% getting three correct</w:t>
      </w:r>
      <w:r w:rsidR="000A0B8E">
        <w:rPr>
          <w:rFonts w:asciiTheme="minorHAnsi" w:hAnsiTheme="minorHAnsi" w:cstheme="minorHAnsi"/>
          <w:sz w:val="22"/>
          <w:szCs w:val="22"/>
        </w:rPr>
        <w:t xml:space="preserve">.  Half of </w:t>
      </w:r>
      <w:r w:rsidR="008624F5">
        <w:rPr>
          <w:rFonts w:asciiTheme="minorHAnsi" w:hAnsiTheme="minorHAnsi" w:cstheme="minorHAnsi"/>
          <w:sz w:val="22"/>
          <w:szCs w:val="22"/>
        </w:rPr>
        <w:t>respondents (</w:t>
      </w:r>
      <w:r>
        <w:rPr>
          <w:rFonts w:asciiTheme="minorHAnsi" w:hAnsiTheme="minorHAnsi" w:cstheme="minorHAnsi"/>
          <w:sz w:val="22"/>
          <w:szCs w:val="22"/>
        </w:rPr>
        <w:t>47%</w:t>
      </w:r>
      <w:r w:rsidR="008624F5">
        <w:rPr>
          <w:rFonts w:asciiTheme="minorHAnsi" w:hAnsiTheme="minorHAnsi" w:cstheme="minorHAnsi"/>
          <w:sz w:val="22"/>
          <w:szCs w:val="22"/>
        </w:rPr>
        <w:t>)</w:t>
      </w:r>
      <w:r>
        <w:rPr>
          <w:rFonts w:asciiTheme="minorHAnsi" w:hAnsiTheme="minorHAnsi" w:cstheme="minorHAnsi"/>
          <w:sz w:val="22"/>
          <w:szCs w:val="22"/>
        </w:rPr>
        <w:t xml:space="preserve"> g</w:t>
      </w:r>
      <w:r w:rsidR="008624F5">
        <w:rPr>
          <w:rFonts w:asciiTheme="minorHAnsi" w:hAnsiTheme="minorHAnsi" w:cstheme="minorHAnsi"/>
          <w:sz w:val="22"/>
          <w:szCs w:val="22"/>
        </w:rPr>
        <w:t>ot</w:t>
      </w:r>
      <w:r>
        <w:rPr>
          <w:rFonts w:asciiTheme="minorHAnsi" w:hAnsiTheme="minorHAnsi" w:cstheme="minorHAnsi"/>
          <w:sz w:val="22"/>
          <w:szCs w:val="22"/>
        </w:rPr>
        <w:t xml:space="preserve"> two </w:t>
      </w:r>
      <w:r w:rsidR="008624F5">
        <w:rPr>
          <w:rFonts w:asciiTheme="minorHAnsi" w:hAnsiTheme="minorHAnsi" w:cstheme="minorHAnsi"/>
          <w:sz w:val="22"/>
          <w:szCs w:val="22"/>
        </w:rPr>
        <w:t xml:space="preserve">questions </w:t>
      </w:r>
      <w:r>
        <w:rPr>
          <w:rFonts w:asciiTheme="minorHAnsi" w:hAnsiTheme="minorHAnsi" w:cstheme="minorHAnsi"/>
          <w:sz w:val="22"/>
          <w:szCs w:val="22"/>
        </w:rPr>
        <w:t>correct</w:t>
      </w:r>
      <w:r w:rsidRPr="00852639">
        <w:rPr>
          <w:rFonts w:asciiTheme="minorHAnsi" w:hAnsiTheme="minorHAnsi" w:cstheme="minorHAnsi"/>
          <w:sz w:val="22"/>
          <w:szCs w:val="22"/>
        </w:rPr>
        <w:t>.</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Around a quarter of those in the Belfast </w:t>
      </w:r>
      <w:bookmarkStart w:id="54" w:name="OLE_LINK20"/>
      <w:bookmarkStart w:id="55" w:name="OLE_LINK21"/>
      <w:r w:rsidR="000360EE">
        <w:rPr>
          <w:rFonts w:asciiTheme="minorHAnsi" w:hAnsiTheme="minorHAnsi" w:cstheme="minorHAnsi"/>
          <w:sz w:val="22"/>
          <w:szCs w:val="22"/>
        </w:rPr>
        <w:t>Trust</w:t>
      </w:r>
      <w:bookmarkEnd w:id="54"/>
      <w:bookmarkEnd w:id="55"/>
      <w:r w:rsidR="000360EE">
        <w:rPr>
          <w:rFonts w:asciiTheme="minorHAnsi" w:hAnsiTheme="minorHAnsi" w:cstheme="minorHAnsi"/>
          <w:sz w:val="22"/>
          <w:szCs w:val="22"/>
        </w:rPr>
        <w:t xml:space="preserve"> </w:t>
      </w:r>
      <w:r>
        <w:rPr>
          <w:rFonts w:asciiTheme="minorHAnsi" w:hAnsiTheme="minorHAnsi" w:cstheme="minorHAnsi"/>
          <w:sz w:val="22"/>
          <w:szCs w:val="22"/>
        </w:rPr>
        <w:t>(27%) and Southern</w:t>
      </w:r>
      <w:r w:rsidR="000360EE" w:rsidRPr="000360EE">
        <w:rPr>
          <w:rFonts w:asciiTheme="minorHAnsi" w:hAnsiTheme="minorHAnsi" w:cstheme="minorHAnsi"/>
          <w:sz w:val="22"/>
          <w:szCs w:val="22"/>
        </w:rPr>
        <w:t xml:space="preserve"> </w:t>
      </w:r>
      <w:r w:rsidR="000360EE">
        <w:rPr>
          <w:rFonts w:asciiTheme="minorHAnsi" w:hAnsiTheme="minorHAnsi" w:cstheme="minorHAnsi"/>
          <w:sz w:val="22"/>
          <w:szCs w:val="22"/>
        </w:rPr>
        <w:t>Trust</w:t>
      </w:r>
      <w:r>
        <w:rPr>
          <w:rFonts w:asciiTheme="minorHAnsi" w:hAnsiTheme="minorHAnsi" w:cstheme="minorHAnsi"/>
          <w:sz w:val="22"/>
          <w:szCs w:val="22"/>
        </w:rPr>
        <w:t xml:space="preserve"> (24%) got at least three of the statements correct compared with 16% of those in the </w:t>
      </w:r>
      <w:r w:rsidR="008624F5">
        <w:rPr>
          <w:rFonts w:asciiTheme="minorHAnsi" w:hAnsiTheme="minorHAnsi" w:cstheme="minorHAnsi"/>
          <w:sz w:val="22"/>
          <w:szCs w:val="22"/>
        </w:rPr>
        <w:t>N</w:t>
      </w:r>
      <w:r>
        <w:rPr>
          <w:rFonts w:asciiTheme="minorHAnsi" w:hAnsiTheme="minorHAnsi" w:cstheme="minorHAnsi"/>
          <w:sz w:val="22"/>
          <w:szCs w:val="22"/>
        </w:rPr>
        <w:t>o</w:t>
      </w:r>
      <w:r w:rsidR="008624F5">
        <w:rPr>
          <w:rFonts w:asciiTheme="minorHAnsi" w:hAnsiTheme="minorHAnsi" w:cstheme="minorHAnsi"/>
          <w:sz w:val="22"/>
          <w:szCs w:val="22"/>
        </w:rPr>
        <w:t>r</w:t>
      </w:r>
      <w:r>
        <w:rPr>
          <w:rFonts w:asciiTheme="minorHAnsi" w:hAnsiTheme="minorHAnsi" w:cstheme="minorHAnsi"/>
          <w:sz w:val="22"/>
          <w:szCs w:val="22"/>
        </w:rPr>
        <w:t>ther</w:t>
      </w:r>
      <w:r w:rsidR="008624F5">
        <w:rPr>
          <w:rFonts w:asciiTheme="minorHAnsi" w:hAnsiTheme="minorHAnsi" w:cstheme="minorHAnsi"/>
          <w:sz w:val="22"/>
          <w:szCs w:val="22"/>
        </w:rPr>
        <w:t>n</w:t>
      </w:r>
      <w:r>
        <w:rPr>
          <w:rFonts w:asciiTheme="minorHAnsi" w:hAnsiTheme="minorHAnsi" w:cstheme="minorHAnsi"/>
          <w:sz w:val="22"/>
          <w:szCs w:val="22"/>
        </w:rPr>
        <w:t xml:space="preserve"> Trust area.</w:t>
      </w:r>
    </w:p>
    <w:p w:rsidR="00695E1E" w:rsidRDefault="00695E1E" w:rsidP="00760B36">
      <w:pPr>
        <w:tabs>
          <w:tab w:val="left" w:pos="-180"/>
        </w:tabs>
        <w:suppressAutoHyphens/>
        <w:spacing w:after="240"/>
        <w:rPr>
          <w:rFonts w:asciiTheme="minorHAnsi" w:hAnsiTheme="minorHAnsi" w:cstheme="minorHAnsi"/>
          <w:sz w:val="22"/>
          <w:szCs w:val="22"/>
        </w:rPr>
      </w:pPr>
      <w:r w:rsidRPr="00695E1E">
        <w:rPr>
          <w:rFonts w:asciiTheme="minorHAnsi" w:hAnsiTheme="minorHAnsi" w:cstheme="minorHAnsi"/>
          <w:noProof/>
          <w:sz w:val="22"/>
          <w:szCs w:val="22"/>
          <w:lang w:val="en-IE" w:eastAsia="en-IE"/>
        </w:rPr>
        <w:drawing>
          <wp:inline distT="0" distB="0" distL="0" distR="0">
            <wp:extent cx="4324350" cy="3600000"/>
            <wp:effectExtent l="19050" t="0" r="0" b="0"/>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60B36" w:rsidRPr="00002695" w:rsidRDefault="00760B36" w:rsidP="00EB0AC3">
      <w:pPr>
        <w:tabs>
          <w:tab w:val="left" w:pos="-180"/>
        </w:tabs>
        <w:suppressAutoHyphens/>
        <w:spacing w:before="36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Overall knowledge of STIs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In total, there were 23 questions on STIs, with respondents only being asked questions about STIs they were aware of.  Therefore </w:t>
      </w:r>
      <w:r w:rsidR="00623214">
        <w:rPr>
          <w:rFonts w:asciiTheme="minorHAnsi" w:hAnsiTheme="minorHAnsi" w:cstheme="minorHAnsi"/>
          <w:sz w:val="22"/>
          <w:szCs w:val="22"/>
        </w:rPr>
        <w:t>just over half</w:t>
      </w:r>
      <w:r>
        <w:rPr>
          <w:rFonts w:asciiTheme="minorHAnsi" w:hAnsiTheme="minorHAnsi" w:cstheme="minorHAnsi"/>
          <w:sz w:val="22"/>
          <w:szCs w:val="22"/>
        </w:rPr>
        <w:t xml:space="preserve"> of respondents </w:t>
      </w:r>
      <w:r w:rsidR="00623214">
        <w:rPr>
          <w:rFonts w:asciiTheme="minorHAnsi" w:hAnsiTheme="minorHAnsi" w:cstheme="minorHAnsi"/>
          <w:sz w:val="22"/>
          <w:szCs w:val="22"/>
        </w:rPr>
        <w:t xml:space="preserve">(54%) </w:t>
      </w:r>
      <w:r>
        <w:rPr>
          <w:rFonts w:asciiTheme="minorHAnsi" w:hAnsiTheme="minorHAnsi" w:cstheme="minorHAnsi"/>
          <w:sz w:val="22"/>
          <w:szCs w:val="22"/>
        </w:rPr>
        <w:t xml:space="preserve">had the chance to answer all the questions.  </w:t>
      </w:r>
      <w:r w:rsidR="00BB28A9">
        <w:rPr>
          <w:rFonts w:asciiTheme="minorHAnsi" w:hAnsiTheme="minorHAnsi" w:cstheme="minorHAnsi"/>
          <w:sz w:val="22"/>
          <w:szCs w:val="22"/>
        </w:rPr>
        <w:t>S</w:t>
      </w:r>
      <w:r w:rsidR="009A3F51">
        <w:rPr>
          <w:rFonts w:asciiTheme="minorHAnsi" w:hAnsiTheme="minorHAnsi" w:cstheme="minorHAnsi"/>
          <w:sz w:val="22"/>
          <w:szCs w:val="22"/>
        </w:rPr>
        <w:t xml:space="preserve">cores </w:t>
      </w:r>
      <w:r w:rsidR="00BB28A9">
        <w:rPr>
          <w:rFonts w:asciiTheme="minorHAnsi" w:hAnsiTheme="minorHAnsi" w:cstheme="minorHAnsi"/>
          <w:sz w:val="22"/>
          <w:szCs w:val="22"/>
        </w:rPr>
        <w:t xml:space="preserve">are </w:t>
      </w:r>
      <w:r w:rsidR="009A3F51">
        <w:rPr>
          <w:rFonts w:asciiTheme="minorHAnsi" w:hAnsiTheme="minorHAnsi" w:cstheme="minorHAnsi"/>
          <w:sz w:val="22"/>
          <w:szCs w:val="22"/>
        </w:rPr>
        <w:t>reported for all who agreed to answer questions in the Sexual Health section.</w:t>
      </w:r>
    </w:p>
    <w:p w:rsidR="00760B36" w:rsidRDefault="009A3F51"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Overall</w:t>
      </w:r>
      <w:r w:rsidR="00760B36">
        <w:rPr>
          <w:rFonts w:asciiTheme="minorHAnsi" w:hAnsiTheme="minorHAnsi" w:cstheme="minorHAnsi"/>
          <w:sz w:val="22"/>
          <w:szCs w:val="22"/>
        </w:rPr>
        <w:t>, 13% correctly</w:t>
      </w:r>
      <w:r>
        <w:rPr>
          <w:rFonts w:asciiTheme="minorHAnsi" w:hAnsiTheme="minorHAnsi" w:cstheme="minorHAnsi"/>
          <w:sz w:val="22"/>
          <w:szCs w:val="22"/>
        </w:rPr>
        <w:t xml:space="preserve"> answered 16 or more statements while a further</w:t>
      </w:r>
      <w:r w:rsidR="00760B36">
        <w:rPr>
          <w:rFonts w:asciiTheme="minorHAnsi" w:hAnsiTheme="minorHAnsi" w:cstheme="minorHAnsi"/>
          <w:sz w:val="22"/>
          <w:szCs w:val="22"/>
        </w:rPr>
        <w:t xml:space="preserve"> 27% scored between 11 and 15</w:t>
      </w:r>
      <w:r>
        <w:rPr>
          <w:rFonts w:asciiTheme="minorHAnsi" w:hAnsiTheme="minorHAnsi" w:cstheme="minorHAnsi"/>
          <w:sz w:val="22"/>
          <w:szCs w:val="22"/>
        </w:rPr>
        <w:t>.  More than a quarter of respondents</w:t>
      </w:r>
      <w:r w:rsidR="00760B36">
        <w:rPr>
          <w:rFonts w:asciiTheme="minorHAnsi" w:hAnsiTheme="minorHAnsi" w:cstheme="minorHAnsi"/>
          <w:sz w:val="22"/>
          <w:szCs w:val="22"/>
        </w:rPr>
        <w:t xml:space="preserve"> </w:t>
      </w:r>
      <w:r>
        <w:rPr>
          <w:rFonts w:asciiTheme="minorHAnsi" w:hAnsiTheme="minorHAnsi" w:cstheme="minorHAnsi"/>
          <w:sz w:val="22"/>
          <w:szCs w:val="22"/>
        </w:rPr>
        <w:t xml:space="preserve">(26%) </w:t>
      </w:r>
      <w:r w:rsidR="00760B36">
        <w:rPr>
          <w:rFonts w:asciiTheme="minorHAnsi" w:hAnsiTheme="minorHAnsi" w:cstheme="minorHAnsi"/>
          <w:sz w:val="22"/>
          <w:szCs w:val="22"/>
        </w:rPr>
        <w:t xml:space="preserve">got five </w:t>
      </w:r>
      <w:r>
        <w:rPr>
          <w:rFonts w:asciiTheme="minorHAnsi" w:hAnsiTheme="minorHAnsi" w:cstheme="minorHAnsi"/>
          <w:sz w:val="22"/>
          <w:szCs w:val="22"/>
        </w:rPr>
        <w:t xml:space="preserve">or less </w:t>
      </w:r>
      <w:r w:rsidR="00760B36">
        <w:rPr>
          <w:rFonts w:asciiTheme="minorHAnsi" w:hAnsiTheme="minorHAnsi" w:cstheme="minorHAnsi"/>
          <w:sz w:val="22"/>
          <w:szCs w:val="22"/>
        </w:rPr>
        <w:t xml:space="preserve">statements correct.  </w:t>
      </w:r>
    </w:p>
    <w:p w:rsidR="00760B36" w:rsidRDefault="00BB28A9" w:rsidP="00002695">
      <w:pPr>
        <w:tabs>
          <w:tab w:val="left" w:pos="-180"/>
        </w:tabs>
        <w:suppressAutoHyphens/>
        <w:spacing w:after="120" w:line="288" w:lineRule="auto"/>
        <w:rPr>
          <w:rFonts w:asciiTheme="minorHAnsi" w:hAnsiTheme="minorHAnsi" w:cstheme="minorHAnsi"/>
          <w:sz w:val="22"/>
          <w:szCs w:val="22"/>
        </w:rPr>
      </w:pPr>
      <w:r w:rsidRPr="00BC2FBD">
        <w:rPr>
          <w:rFonts w:asciiTheme="minorHAnsi" w:hAnsiTheme="minorHAnsi" w:cstheme="minorHAnsi"/>
          <w:noProof/>
          <w:color w:val="C0504D" w:themeColor="accent2"/>
          <w:sz w:val="22"/>
          <w:szCs w:val="22"/>
          <w:lang w:val="en-IE" w:eastAsia="en-IE"/>
        </w:rPr>
        <w:drawing>
          <wp:inline distT="0" distB="0" distL="0" distR="0">
            <wp:extent cx="4324350" cy="2520000"/>
            <wp:effectExtent l="19050" t="0" r="0" b="0"/>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Theme="minorHAnsi" w:hAnsiTheme="minorHAnsi" w:cstheme="minorHAnsi"/>
          <w:sz w:val="22"/>
          <w:szCs w:val="22"/>
        </w:rPr>
        <w:t>Two-fifths of fe</w:t>
      </w:r>
      <w:r w:rsidR="00760B36">
        <w:rPr>
          <w:rFonts w:asciiTheme="minorHAnsi" w:hAnsiTheme="minorHAnsi" w:cstheme="minorHAnsi"/>
          <w:sz w:val="22"/>
          <w:szCs w:val="22"/>
        </w:rPr>
        <w:t xml:space="preserve">males </w:t>
      </w:r>
      <w:r>
        <w:rPr>
          <w:rFonts w:asciiTheme="minorHAnsi" w:hAnsiTheme="minorHAnsi" w:cstheme="minorHAnsi"/>
          <w:sz w:val="22"/>
          <w:szCs w:val="22"/>
        </w:rPr>
        <w:t>(43%) got</w:t>
      </w:r>
      <w:r w:rsidR="00760B36">
        <w:rPr>
          <w:rFonts w:asciiTheme="minorHAnsi" w:hAnsiTheme="minorHAnsi" w:cstheme="minorHAnsi"/>
          <w:sz w:val="22"/>
          <w:szCs w:val="22"/>
        </w:rPr>
        <w:t xml:space="preserve"> 11 or more questions correct compared with</w:t>
      </w:r>
      <w:r>
        <w:rPr>
          <w:rFonts w:asciiTheme="minorHAnsi" w:hAnsiTheme="minorHAnsi" w:cstheme="minorHAnsi"/>
          <w:sz w:val="22"/>
          <w:szCs w:val="22"/>
        </w:rPr>
        <w:t xml:space="preserve"> a third</w:t>
      </w:r>
      <w:r w:rsidR="00760B36">
        <w:rPr>
          <w:rFonts w:asciiTheme="minorHAnsi" w:hAnsiTheme="minorHAnsi" w:cstheme="minorHAnsi"/>
          <w:sz w:val="22"/>
          <w:szCs w:val="22"/>
        </w:rPr>
        <w:t xml:space="preserve"> of males</w:t>
      </w:r>
      <w:r>
        <w:rPr>
          <w:rFonts w:asciiTheme="minorHAnsi" w:hAnsiTheme="minorHAnsi" w:cstheme="minorHAnsi"/>
          <w:sz w:val="22"/>
          <w:szCs w:val="22"/>
        </w:rPr>
        <w:t xml:space="preserve"> (34%)</w:t>
      </w:r>
      <w:r w:rsidR="00760B36">
        <w:rPr>
          <w:rFonts w:asciiTheme="minorHAnsi" w:hAnsiTheme="minorHAnsi" w:cstheme="minorHAnsi"/>
          <w:sz w:val="22"/>
          <w:szCs w:val="22"/>
        </w:rPr>
        <w:t>.</w:t>
      </w:r>
    </w:p>
    <w:p w:rsidR="00760B36" w:rsidRDefault="00760B36" w:rsidP="00BC2FBD">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 xml:space="preserve">Overall, knowledge of STIs was highest in the Belfast Trust area with just over half (53%) getting 11 or more of the statements correct, compared with </w:t>
      </w:r>
      <w:r w:rsidR="00BB28A9">
        <w:rPr>
          <w:rFonts w:asciiTheme="minorHAnsi" w:hAnsiTheme="minorHAnsi" w:cstheme="minorHAnsi"/>
          <w:sz w:val="22"/>
          <w:szCs w:val="22"/>
        </w:rPr>
        <w:t>less than two-fifths of respondents</w:t>
      </w:r>
      <w:r>
        <w:rPr>
          <w:rFonts w:asciiTheme="minorHAnsi" w:hAnsiTheme="minorHAnsi" w:cstheme="minorHAnsi"/>
          <w:sz w:val="22"/>
          <w:szCs w:val="22"/>
        </w:rPr>
        <w:t xml:space="preserve"> in all other Trust areas.</w:t>
      </w:r>
    </w:p>
    <w:p w:rsidR="00AA6C35" w:rsidRDefault="00C03FB5" w:rsidP="00DF77E2">
      <w:pPr>
        <w:tabs>
          <w:tab w:val="left" w:pos="-180"/>
        </w:tabs>
        <w:suppressAutoHyphens/>
        <w:spacing w:after="60"/>
        <w:rPr>
          <w:rFonts w:asciiTheme="minorHAnsi" w:hAnsiTheme="minorHAnsi" w:cstheme="minorHAnsi"/>
          <w:b/>
          <w:color w:val="4F81BD" w:themeColor="accent1"/>
          <w:sz w:val="22"/>
          <w:szCs w:val="22"/>
        </w:rPr>
      </w:pPr>
      <w:r w:rsidRPr="00C03FB5">
        <w:rPr>
          <w:rFonts w:asciiTheme="minorHAnsi" w:hAnsiTheme="minorHAnsi" w:cstheme="minorHAnsi"/>
          <w:b/>
          <w:noProof/>
          <w:color w:val="4F81BD" w:themeColor="accent1"/>
          <w:sz w:val="22"/>
          <w:szCs w:val="22"/>
          <w:lang w:val="en-IE" w:eastAsia="en-IE"/>
        </w:rPr>
        <w:drawing>
          <wp:inline distT="0" distB="0" distL="0" distR="0">
            <wp:extent cx="4324350" cy="2664000"/>
            <wp:effectExtent l="19050" t="0" r="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4724A" w:rsidRDefault="0014724A"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There was little difference across deprivation quintiles with broadly two out of five respondents getting 11 or more questions correct. </w:t>
      </w:r>
    </w:p>
    <w:p w:rsidR="00AA6C35" w:rsidRDefault="00AA6C35" w:rsidP="00365375">
      <w:pPr>
        <w:tabs>
          <w:tab w:val="left" w:pos="-180"/>
        </w:tabs>
        <w:suppressAutoHyphens/>
        <w:spacing w:after="60"/>
        <w:rPr>
          <w:rFonts w:asciiTheme="minorHAnsi" w:hAnsiTheme="minorHAnsi" w:cstheme="minorHAnsi"/>
          <w:sz w:val="22"/>
          <w:szCs w:val="22"/>
        </w:rPr>
      </w:pPr>
      <w:r w:rsidRPr="00AA6C35">
        <w:rPr>
          <w:rFonts w:asciiTheme="minorHAnsi" w:hAnsiTheme="minorHAnsi" w:cstheme="minorHAnsi"/>
          <w:noProof/>
          <w:sz w:val="22"/>
          <w:szCs w:val="22"/>
          <w:lang w:val="en-IE" w:eastAsia="en-IE"/>
        </w:rPr>
        <w:drawing>
          <wp:inline distT="0" distB="0" distL="0" distR="0">
            <wp:extent cx="4324350" cy="2700000"/>
            <wp:effectExtent l="19050" t="0" r="0" b="0"/>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60B36" w:rsidRPr="00002695" w:rsidRDefault="00760B36" w:rsidP="00BC2FBD">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Methods to protect against STIs</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The majority of respondents (86%) were aware that condoms could be used to protect against STIs, with 46% aware that </w:t>
      </w:r>
      <w:r w:rsidR="00EE151E">
        <w:rPr>
          <w:rFonts w:asciiTheme="minorHAnsi" w:hAnsiTheme="minorHAnsi" w:cstheme="minorHAnsi"/>
          <w:sz w:val="22"/>
          <w:szCs w:val="22"/>
        </w:rPr>
        <w:t>a</w:t>
      </w:r>
      <w:r>
        <w:rPr>
          <w:rFonts w:asciiTheme="minorHAnsi" w:hAnsiTheme="minorHAnsi" w:cstheme="minorHAnsi"/>
          <w:sz w:val="22"/>
          <w:szCs w:val="22"/>
        </w:rPr>
        <w:t xml:space="preserve"> Femidom also provided protection.  Just 7% were aware that the Dental Dam could be used for oral protection, although four-fifths (80%) did</w:t>
      </w:r>
      <w:r w:rsidR="00305BC9">
        <w:rPr>
          <w:rFonts w:asciiTheme="minorHAnsi" w:hAnsiTheme="minorHAnsi" w:cstheme="minorHAnsi"/>
          <w:sz w:val="22"/>
          <w:szCs w:val="22"/>
        </w:rPr>
        <w:t xml:space="preserve"> </w:t>
      </w:r>
      <w:r>
        <w:rPr>
          <w:rFonts w:asciiTheme="minorHAnsi" w:hAnsiTheme="minorHAnsi" w:cstheme="minorHAnsi"/>
          <w:sz w:val="22"/>
          <w:szCs w:val="22"/>
        </w:rPr>
        <w:t>n</w:t>
      </w:r>
      <w:r w:rsidR="00305BC9">
        <w:rPr>
          <w:rFonts w:asciiTheme="minorHAnsi" w:hAnsiTheme="minorHAnsi" w:cstheme="minorHAnsi"/>
          <w:sz w:val="22"/>
          <w:szCs w:val="22"/>
        </w:rPr>
        <w:t>o</w:t>
      </w:r>
      <w:r>
        <w:rPr>
          <w:rFonts w:asciiTheme="minorHAnsi" w:hAnsiTheme="minorHAnsi" w:cstheme="minorHAnsi"/>
          <w:sz w:val="22"/>
          <w:szCs w:val="22"/>
        </w:rPr>
        <w:t>t know or had</w:t>
      </w:r>
      <w:r w:rsidR="00305BC9">
        <w:rPr>
          <w:rFonts w:asciiTheme="minorHAnsi" w:hAnsiTheme="minorHAnsi" w:cstheme="minorHAnsi"/>
          <w:sz w:val="22"/>
          <w:szCs w:val="22"/>
        </w:rPr>
        <w:t xml:space="preserve"> </w:t>
      </w:r>
      <w:r>
        <w:rPr>
          <w:rFonts w:asciiTheme="minorHAnsi" w:hAnsiTheme="minorHAnsi" w:cstheme="minorHAnsi"/>
          <w:sz w:val="22"/>
          <w:szCs w:val="22"/>
        </w:rPr>
        <w:t>n</w:t>
      </w:r>
      <w:r w:rsidR="00305BC9">
        <w:rPr>
          <w:rFonts w:asciiTheme="minorHAnsi" w:hAnsiTheme="minorHAnsi" w:cstheme="minorHAnsi"/>
          <w:sz w:val="22"/>
          <w:szCs w:val="22"/>
        </w:rPr>
        <w:t>o</w:t>
      </w:r>
      <w:r>
        <w:rPr>
          <w:rFonts w:asciiTheme="minorHAnsi" w:hAnsiTheme="minorHAnsi" w:cstheme="minorHAnsi"/>
          <w:sz w:val="22"/>
          <w:szCs w:val="22"/>
        </w:rPr>
        <w:t>t heard of the Dental Dam.</w:t>
      </w:r>
    </w:p>
    <w:p w:rsidR="00760B36" w:rsidRPr="00002695" w:rsidRDefault="00760B36" w:rsidP="00BC2FBD">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Methods which do not protect against STIs</w:t>
      </w:r>
    </w:p>
    <w:p w:rsidR="00760B36" w:rsidRDefault="00365375"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Two-thirds</w:t>
      </w:r>
      <w:r w:rsidR="00760B36">
        <w:rPr>
          <w:rFonts w:asciiTheme="minorHAnsi" w:hAnsiTheme="minorHAnsi" w:cstheme="minorHAnsi"/>
          <w:sz w:val="22"/>
          <w:szCs w:val="22"/>
        </w:rPr>
        <w:t xml:space="preserve"> of respondents correctly identified that withdrawal </w:t>
      </w:r>
      <w:r w:rsidR="001664EA">
        <w:rPr>
          <w:rFonts w:asciiTheme="minorHAnsi" w:hAnsiTheme="minorHAnsi" w:cstheme="minorHAnsi"/>
          <w:sz w:val="22"/>
          <w:szCs w:val="22"/>
        </w:rPr>
        <w:t>(70%), emergency contraception (</w:t>
      </w:r>
      <w:r w:rsidR="00EC2B4F">
        <w:rPr>
          <w:rFonts w:asciiTheme="minorHAnsi" w:hAnsiTheme="minorHAnsi" w:cstheme="minorHAnsi"/>
          <w:sz w:val="22"/>
          <w:szCs w:val="22"/>
        </w:rPr>
        <w:t>morning after pill</w:t>
      </w:r>
      <w:r w:rsidR="001664EA">
        <w:rPr>
          <w:rFonts w:asciiTheme="minorHAnsi" w:hAnsiTheme="minorHAnsi" w:cstheme="minorHAnsi"/>
          <w:sz w:val="22"/>
          <w:szCs w:val="22"/>
        </w:rPr>
        <w:t>)</w:t>
      </w:r>
      <w:r w:rsidR="00EC2B4F">
        <w:rPr>
          <w:rFonts w:asciiTheme="minorHAnsi" w:hAnsiTheme="minorHAnsi" w:cstheme="minorHAnsi"/>
          <w:sz w:val="22"/>
          <w:szCs w:val="22"/>
        </w:rPr>
        <w:t xml:space="preserve"> (67%) and the pill (63%) </w:t>
      </w:r>
      <w:r w:rsidR="00760B36">
        <w:rPr>
          <w:rFonts w:asciiTheme="minorHAnsi" w:hAnsiTheme="minorHAnsi" w:cstheme="minorHAnsi"/>
          <w:sz w:val="22"/>
          <w:szCs w:val="22"/>
        </w:rPr>
        <w:t xml:space="preserve">did not provide protection against STIs.  </w:t>
      </w:r>
      <w:r w:rsidR="00EC2B4F">
        <w:rPr>
          <w:rFonts w:asciiTheme="minorHAnsi" w:hAnsiTheme="minorHAnsi" w:cstheme="minorHAnsi"/>
          <w:sz w:val="22"/>
          <w:szCs w:val="22"/>
        </w:rPr>
        <w:t>At least half of respondents knew that</w:t>
      </w:r>
      <w:r w:rsidR="00760B36">
        <w:rPr>
          <w:rFonts w:asciiTheme="minorHAnsi" w:hAnsiTheme="minorHAnsi" w:cstheme="minorHAnsi"/>
          <w:sz w:val="22"/>
          <w:szCs w:val="22"/>
        </w:rPr>
        <w:t xml:space="preserve"> the Rhythm / Billings Method (57%), sterilisation (56%), the coil (54%), Injections / implants (54%), spermicides (51%) and the cap / diaphragm (50%)</w:t>
      </w:r>
      <w:r w:rsidR="00EC2B4F" w:rsidRPr="00EC2B4F">
        <w:rPr>
          <w:rFonts w:asciiTheme="minorHAnsi" w:hAnsiTheme="minorHAnsi" w:cstheme="minorHAnsi"/>
          <w:sz w:val="22"/>
          <w:szCs w:val="22"/>
        </w:rPr>
        <w:t xml:space="preserve"> </w:t>
      </w:r>
      <w:r w:rsidR="00EC2B4F">
        <w:rPr>
          <w:rFonts w:asciiTheme="minorHAnsi" w:hAnsiTheme="minorHAnsi" w:cstheme="minorHAnsi"/>
          <w:sz w:val="22"/>
          <w:szCs w:val="22"/>
        </w:rPr>
        <w:t>also did not provide protection against STIs</w:t>
      </w:r>
      <w:r w:rsidR="00760B36">
        <w:rPr>
          <w:rFonts w:asciiTheme="minorHAnsi" w:hAnsiTheme="minorHAnsi" w:cstheme="minorHAnsi"/>
          <w:sz w:val="22"/>
          <w:szCs w:val="22"/>
        </w:rPr>
        <w:t>.</w:t>
      </w:r>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Over </w:t>
      </w:r>
      <w:r w:rsidR="00EC2B4F">
        <w:rPr>
          <w:rFonts w:asciiTheme="minorHAnsi" w:hAnsiTheme="minorHAnsi" w:cstheme="minorHAnsi"/>
          <w:sz w:val="22"/>
          <w:szCs w:val="22"/>
        </w:rPr>
        <w:t xml:space="preserve">a </w:t>
      </w:r>
      <w:r>
        <w:rPr>
          <w:rFonts w:asciiTheme="minorHAnsi" w:hAnsiTheme="minorHAnsi" w:cstheme="minorHAnsi"/>
          <w:sz w:val="22"/>
          <w:szCs w:val="22"/>
        </w:rPr>
        <w:t xml:space="preserve">fifth of respondents </w:t>
      </w:r>
      <w:r w:rsidR="00EC2B4F">
        <w:rPr>
          <w:rFonts w:asciiTheme="minorHAnsi" w:hAnsiTheme="minorHAnsi" w:cstheme="minorHAnsi"/>
          <w:sz w:val="22"/>
          <w:szCs w:val="22"/>
        </w:rPr>
        <w:t xml:space="preserve">(21%) </w:t>
      </w:r>
      <w:r>
        <w:rPr>
          <w:rFonts w:asciiTheme="minorHAnsi" w:hAnsiTheme="minorHAnsi" w:cstheme="minorHAnsi"/>
          <w:sz w:val="22"/>
          <w:szCs w:val="22"/>
        </w:rPr>
        <w:t>wrongly believed that the pill would provide protection against STIs, while 15% thought that the cap / diaphragm or sterilisation would provide protection.</w:t>
      </w:r>
    </w:p>
    <w:p w:rsidR="00760B36" w:rsidRPr="00002695" w:rsidRDefault="00760B36" w:rsidP="00BC2FBD">
      <w:pPr>
        <w:tabs>
          <w:tab w:val="left" w:pos="-180"/>
        </w:tabs>
        <w:suppressAutoHyphens/>
        <w:spacing w:before="240" w:after="120"/>
        <w:rPr>
          <w:rFonts w:asciiTheme="minorHAnsi" w:hAnsiTheme="minorHAnsi" w:cstheme="minorHAnsi"/>
          <w:b/>
          <w:color w:val="C0504D" w:themeColor="accent2"/>
          <w:sz w:val="24"/>
          <w:szCs w:val="24"/>
        </w:rPr>
      </w:pPr>
      <w:bookmarkStart w:id="56" w:name="_Ref381945955"/>
      <w:r w:rsidRPr="00002695">
        <w:rPr>
          <w:rFonts w:asciiTheme="minorHAnsi" w:hAnsiTheme="minorHAnsi" w:cstheme="minorHAnsi"/>
          <w:b/>
          <w:color w:val="C0504D" w:themeColor="accent2"/>
          <w:sz w:val="24"/>
          <w:szCs w:val="24"/>
        </w:rPr>
        <w:t>Condom Use</w:t>
      </w:r>
      <w:bookmarkEnd w:id="56"/>
    </w:p>
    <w:p w:rsidR="00760B36" w:rsidRDefault="00760B36"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R</w:t>
      </w:r>
      <w:r w:rsidRPr="00852639">
        <w:rPr>
          <w:rFonts w:asciiTheme="minorHAnsi" w:hAnsiTheme="minorHAnsi" w:cstheme="minorHAnsi"/>
          <w:sz w:val="22"/>
          <w:szCs w:val="22"/>
        </w:rPr>
        <w:t>espondents aged between 16 and 55 years old</w:t>
      </w:r>
      <w:r>
        <w:rPr>
          <w:rFonts w:asciiTheme="minorHAnsi" w:hAnsiTheme="minorHAnsi" w:cstheme="minorHAnsi"/>
          <w:sz w:val="22"/>
          <w:szCs w:val="22"/>
        </w:rPr>
        <w:t xml:space="preserve"> were asked if they would give their views on use of condoms</w:t>
      </w:r>
      <w:r w:rsidRPr="00852639">
        <w:rPr>
          <w:rFonts w:asciiTheme="minorHAnsi" w:hAnsiTheme="minorHAnsi" w:cstheme="minorHAnsi"/>
          <w:sz w:val="22"/>
          <w:szCs w:val="22"/>
        </w:rPr>
        <w:t>.  A total of 1,</w:t>
      </w:r>
      <w:r>
        <w:rPr>
          <w:rFonts w:asciiTheme="minorHAnsi" w:hAnsiTheme="minorHAnsi" w:cstheme="minorHAnsi"/>
          <w:sz w:val="22"/>
          <w:szCs w:val="22"/>
        </w:rPr>
        <w:t>358</w:t>
      </w:r>
      <w:r w:rsidRPr="00852639">
        <w:rPr>
          <w:rFonts w:asciiTheme="minorHAnsi" w:hAnsiTheme="minorHAnsi" w:cstheme="minorHAnsi"/>
          <w:sz w:val="22"/>
          <w:szCs w:val="22"/>
        </w:rPr>
        <w:t xml:space="preserve"> individuals </w:t>
      </w:r>
      <w:r w:rsidR="00EC2B4F" w:rsidRPr="00852639">
        <w:rPr>
          <w:rFonts w:asciiTheme="minorHAnsi" w:hAnsiTheme="minorHAnsi" w:cstheme="minorHAnsi"/>
          <w:sz w:val="22"/>
          <w:szCs w:val="22"/>
        </w:rPr>
        <w:t>(</w:t>
      </w:r>
      <w:r w:rsidR="00EC2B4F">
        <w:rPr>
          <w:rFonts w:asciiTheme="minorHAnsi" w:hAnsiTheme="minorHAnsi" w:cstheme="minorHAnsi"/>
          <w:sz w:val="22"/>
          <w:szCs w:val="22"/>
        </w:rPr>
        <w:t>55</w:t>
      </w:r>
      <w:r w:rsidR="00EC2B4F" w:rsidRPr="00852639">
        <w:rPr>
          <w:rFonts w:asciiTheme="minorHAnsi" w:hAnsiTheme="minorHAnsi" w:cstheme="minorHAnsi"/>
          <w:sz w:val="22"/>
          <w:szCs w:val="22"/>
        </w:rPr>
        <w:t>%)</w:t>
      </w:r>
      <w:r w:rsidRPr="00852639">
        <w:rPr>
          <w:rFonts w:asciiTheme="minorHAnsi" w:hAnsiTheme="minorHAnsi" w:cstheme="minorHAnsi"/>
          <w:sz w:val="22"/>
          <w:szCs w:val="22"/>
        </w:rPr>
        <w:t xml:space="preserve"> in the selected age group agreed to complete th</w:t>
      </w:r>
      <w:r>
        <w:rPr>
          <w:rFonts w:asciiTheme="minorHAnsi" w:hAnsiTheme="minorHAnsi" w:cstheme="minorHAnsi"/>
          <w:sz w:val="22"/>
          <w:szCs w:val="22"/>
        </w:rPr>
        <w:t>is part of the</w:t>
      </w:r>
      <w:r w:rsidRPr="00852639">
        <w:rPr>
          <w:rFonts w:asciiTheme="minorHAnsi" w:hAnsiTheme="minorHAnsi" w:cstheme="minorHAnsi"/>
          <w:sz w:val="22"/>
          <w:szCs w:val="22"/>
        </w:rPr>
        <w:t xml:space="preserve"> sexual health section.</w:t>
      </w:r>
    </w:p>
    <w:p w:rsidR="00760B36" w:rsidRDefault="00A64BD0" w:rsidP="004366F1">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M</w:t>
      </w:r>
      <w:r w:rsidR="00760B36">
        <w:rPr>
          <w:rFonts w:asciiTheme="minorHAnsi" w:hAnsiTheme="minorHAnsi" w:cstheme="minorHAnsi"/>
          <w:sz w:val="22"/>
          <w:szCs w:val="22"/>
        </w:rPr>
        <w:t xml:space="preserve">ost respondents (89%) agreed with the statement that ‘It is necessary to use condoms with a new partner even if some other method of contraception is being used’.  Females </w:t>
      </w:r>
      <w:r>
        <w:rPr>
          <w:rFonts w:asciiTheme="minorHAnsi" w:hAnsiTheme="minorHAnsi" w:cstheme="minorHAnsi"/>
          <w:sz w:val="22"/>
          <w:szCs w:val="22"/>
        </w:rPr>
        <w:t xml:space="preserve">(92%) </w:t>
      </w:r>
      <w:r w:rsidR="00760B36">
        <w:rPr>
          <w:rFonts w:asciiTheme="minorHAnsi" w:hAnsiTheme="minorHAnsi" w:cstheme="minorHAnsi"/>
          <w:sz w:val="22"/>
          <w:szCs w:val="22"/>
        </w:rPr>
        <w:t xml:space="preserve">were more likely to agree with this statement than males </w:t>
      </w:r>
      <w:r>
        <w:rPr>
          <w:rFonts w:asciiTheme="minorHAnsi" w:hAnsiTheme="minorHAnsi" w:cstheme="minorHAnsi"/>
          <w:sz w:val="22"/>
          <w:szCs w:val="22"/>
        </w:rPr>
        <w:t>(</w:t>
      </w:r>
      <w:r w:rsidR="00760B36">
        <w:rPr>
          <w:rFonts w:asciiTheme="minorHAnsi" w:hAnsiTheme="minorHAnsi" w:cstheme="minorHAnsi"/>
          <w:sz w:val="22"/>
          <w:szCs w:val="22"/>
        </w:rPr>
        <w:t xml:space="preserve">84%).  Those in the Northern Trust area were slightly more likely to agree with this statement (93%) than those in the </w:t>
      </w:r>
      <w:r w:rsidR="001F538D">
        <w:rPr>
          <w:rFonts w:asciiTheme="minorHAnsi" w:hAnsiTheme="minorHAnsi" w:cstheme="minorHAnsi"/>
          <w:sz w:val="22"/>
          <w:szCs w:val="22"/>
        </w:rPr>
        <w:t xml:space="preserve">Belfast, Western and South Eastern </w:t>
      </w:r>
      <w:r w:rsidR="00760B36">
        <w:rPr>
          <w:rFonts w:asciiTheme="minorHAnsi" w:hAnsiTheme="minorHAnsi" w:cstheme="minorHAnsi"/>
          <w:sz w:val="22"/>
          <w:szCs w:val="22"/>
        </w:rPr>
        <w:t>Trust areas (87%).</w:t>
      </w:r>
    </w:p>
    <w:p w:rsidR="00760B36" w:rsidRDefault="00760B36" w:rsidP="00760B36">
      <w:pPr>
        <w:tabs>
          <w:tab w:val="left" w:pos="-180"/>
        </w:tabs>
        <w:suppressAutoHyphens/>
        <w:rPr>
          <w:rFonts w:asciiTheme="minorHAnsi" w:hAnsiTheme="minorHAnsi" w:cstheme="minorHAnsi"/>
          <w:b/>
        </w:rPr>
      </w:pPr>
      <w:r w:rsidRPr="00EF4F3A">
        <w:rPr>
          <w:rFonts w:asciiTheme="minorHAnsi" w:hAnsiTheme="minorHAnsi" w:cstheme="minorHAnsi"/>
          <w:b/>
        </w:rPr>
        <w:t>It is necessary to use condoms with a new partner even if some other method of contraception is being used</w:t>
      </w:r>
    </w:p>
    <w:p w:rsidR="00760B36" w:rsidRPr="00EF4F3A" w:rsidRDefault="00760B36" w:rsidP="00760B36">
      <w:pPr>
        <w:tabs>
          <w:tab w:val="left" w:pos="-180"/>
        </w:tabs>
        <w:suppressAutoHyphens/>
        <w:spacing w:after="120"/>
        <w:rPr>
          <w:rFonts w:asciiTheme="minorHAnsi" w:hAnsiTheme="minorHAnsi" w:cstheme="minorHAnsi"/>
          <w:b/>
        </w:rPr>
      </w:pPr>
      <w:r w:rsidRPr="00C76E42">
        <w:rPr>
          <w:rFonts w:asciiTheme="minorHAnsi" w:hAnsiTheme="minorHAnsi" w:cstheme="minorHAnsi"/>
          <w:b/>
          <w:noProof/>
          <w:lang w:val="en-IE" w:eastAsia="en-IE"/>
        </w:rPr>
        <w:drawing>
          <wp:inline distT="0" distB="0" distL="0" distR="0">
            <wp:extent cx="4324350" cy="2160000"/>
            <wp:effectExtent l="0" t="0" r="0" b="0"/>
            <wp:docPr id="3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60B36" w:rsidRDefault="001F538D" w:rsidP="004366F1">
      <w:pPr>
        <w:tabs>
          <w:tab w:val="left" w:pos="-180"/>
        </w:tabs>
        <w:suppressAutoHyphens/>
        <w:spacing w:after="180" w:line="288" w:lineRule="auto"/>
        <w:rPr>
          <w:rFonts w:asciiTheme="minorHAnsi" w:hAnsiTheme="minorHAnsi" w:cstheme="minorHAnsi"/>
          <w:sz w:val="22"/>
          <w:szCs w:val="22"/>
        </w:rPr>
      </w:pPr>
      <w:r>
        <w:rPr>
          <w:rFonts w:asciiTheme="minorHAnsi" w:hAnsiTheme="minorHAnsi" w:cstheme="minorHAnsi"/>
          <w:sz w:val="22"/>
          <w:szCs w:val="22"/>
        </w:rPr>
        <w:t>Two-thirds</w:t>
      </w:r>
      <w:r w:rsidR="00760B36">
        <w:rPr>
          <w:rFonts w:asciiTheme="minorHAnsi" w:hAnsiTheme="minorHAnsi" w:cstheme="minorHAnsi"/>
          <w:sz w:val="22"/>
          <w:szCs w:val="22"/>
        </w:rPr>
        <w:t xml:space="preserve"> of respondents (68%) agreed with the statement ‘If I wanted to have sex with a new partner, I wouldn’t do it if we didn’t have any condoms’.  Females were more likely to agree with this statement (76%) than males (58%).  </w:t>
      </w:r>
      <w:r w:rsidR="00741DAB">
        <w:rPr>
          <w:rFonts w:asciiTheme="minorHAnsi" w:hAnsiTheme="minorHAnsi" w:cstheme="minorHAnsi"/>
          <w:sz w:val="22"/>
          <w:szCs w:val="22"/>
        </w:rPr>
        <w:t>Three-quarters</w:t>
      </w:r>
      <w:r>
        <w:rPr>
          <w:rFonts w:asciiTheme="minorHAnsi" w:hAnsiTheme="minorHAnsi" w:cstheme="minorHAnsi"/>
          <w:sz w:val="22"/>
          <w:szCs w:val="22"/>
        </w:rPr>
        <w:t xml:space="preserve"> of t</w:t>
      </w:r>
      <w:r w:rsidR="00760B36">
        <w:rPr>
          <w:rFonts w:asciiTheme="minorHAnsi" w:hAnsiTheme="minorHAnsi" w:cstheme="minorHAnsi"/>
          <w:sz w:val="22"/>
          <w:szCs w:val="22"/>
        </w:rPr>
        <w:t xml:space="preserve">hose in the least deprived quintile </w:t>
      </w:r>
      <w:r>
        <w:rPr>
          <w:rFonts w:asciiTheme="minorHAnsi" w:hAnsiTheme="minorHAnsi" w:cstheme="minorHAnsi"/>
          <w:sz w:val="22"/>
          <w:szCs w:val="22"/>
        </w:rPr>
        <w:t>(7</w:t>
      </w:r>
      <w:r w:rsidR="00741DAB">
        <w:rPr>
          <w:rFonts w:asciiTheme="minorHAnsi" w:hAnsiTheme="minorHAnsi" w:cstheme="minorHAnsi"/>
          <w:sz w:val="22"/>
          <w:szCs w:val="22"/>
        </w:rPr>
        <w:t>5</w:t>
      </w:r>
      <w:r>
        <w:rPr>
          <w:rFonts w:asciiTheme="minorHAnsi" w:hAnsiTheme="minorHAnsi" w:cstheme="minorHAnsi"/>
          <w:sz w:val="22"/>
          <w:szCs w:val="22"/>
        </w:rPr>
        <w:t xml:space="preserve">%) </w:t>
      </w:r>
      <w:r w:rsidR="00760B36">
        <w:rPr>
          <w:rFonts w:asciiTheme="minorHAnsi" w:hAnsiTheme="minorHAnsi" w:cstheme="minorHAnsi"/>
          <w:sz w:val="22"/>
          <w:szCs w:val="22"/>
        </w:rPr>
        <w:t>agree</w:t>
      </w:r>
      <w:r>
        <w:rPr>
          <w:rFonts w:asciiTheme="minorHAnsi" w:hAnsiTheme="minorHAnsi" w:cstheme="minorHAnsi"/>
          <w:sz w:val="22"/>
          <w:szCs w:val="22"/>
        </w:rPr>
        <w:t>d</w:t>
      </w:r>
      <w:r w:rsidR="00760B36">
        <w:rPr>
          <w:rFonts w:asciiTheme="minorHAnsi" w:hAnsiTheme="minorHAnsi" w:cstheme="minorHAnsi"/>
          <w:sz w:val="22"/>
          <w:szCs w:val="22"/>
        </w:rPr>
        <w:t xml:space="preserve"> with this statement </w:t>
      </w:r>
      <w:r>
        <w:rPr>
          <w:rFonts w:asciiTheme="minorHAnsi" w:hAnsiTheme="minorHAnsi" w:cstheme="minorHAnsi"/>
          <w:sz w:val="22"/>
          <w:szCs w:val="22"/>
        </w:rPr>
        <w:t>which</w:t>
      </w:r>
      <w:r w:rsidR="00760B36">
        <w:rPr>
          <w:rFonts w:asciiTheme="minorHAnsi" w:hAnsiTheme="minorHAnsi" w:cstheme="minorHAnsi"/>
          <w:sz w:val="22"/>
          <w:szCs w:val="22"/>
        </w:rPr>
        <w:t xml:space="preserve"> compar</w:t>
      </w:r>
      <w:r>
        <w:rPr>
          <w:rFonts w:asciiTheme="minorHAnsi" w:hAnsiTheme="minorHAnsi" w:cstheme="minorHAnsi"/>
          <w:sz w:val="22"/>
          <w:szCs w:val="22"/>
        </w:rPr>
        <w:t>ed</w:t>
      </w:r>
      <w:r w:rsidR="00760B36">
        <w:rPr>
          <w:rFonts w:asciiTheme="minorHAnsi" w:hAnsiTheme="minorHAnsi" w:cstheme="minorHAnsi"/>
          <w:sz w:val="22"/>
          <w:szCs w:val="22"/>
        </w:rPr>
        <w:t xml:space="preserve"> with </w:t>
      </w:r>
      <w:r>
        <w:rPr>
          <w:rFonts w:asciiTheme="minorHAnsi" w:hAnsiTheme="minorHAnsi" w:cstheme="minorHAnsi"/>
          <w:sz w:val="22"/>
          <w:szCs w:val="22"/>
        </w:rPr>
        <w:t xml:space="preserve">67% of </w:t>
      </w:r>
      <w:r w:rsidR="00760B36">
        <w:rPr>
          <w:rFonts w:asciiTheme="minorHAnsi" w:hAnsiTheme="minorHAnsi" w:cstheme="minorHAnsi"/>
          <w:sz w:val="22"/>
          <w:szCs w:val="22"/>
        </w:rPr>
        <w:t>those in the most deprived quintile.</w:t>
      </w:r>
    </w:p>
    <w:p w:rsidR="00760B36" w:rsidRPr="003C73B1" w:rsidRDefault="00760B36" w:rsidP="00760B36">
      <w:pPr>
        <w:tabs>
          <w:tab w:val="left" w:pos="-180"/>
        </w:tabs>
        <w:suppressAutoHyphens/>
        <w:rPr>
          <w:rFonts w:asciiTheme="minorHAnsi" w:hAnsiTheme="minorHAnsi" w:cstheme="minorHAnsi"/>
          <w:b/>
        </w:rPr>
      </w:pPr>
      <w:r w:rsidRPr="003C73B1">
        <w:rPr>
          <w:rFonts w:asciiTheme="minorHAnsi" w:hAnsiTheme="minorHAnsi" w:cstheme="minorHAnsi"/>
          <w:b/>
        </w:rPr>
        <w:t>If I wanted to have sex with a new partner, I wouldn’t do it if we didn’t have any condoms</w:t>
      </w:r>
    </w:p>
    <w:p w:rsidR="00760B36" w:rsidRDefault="00760B36" w:rsidP="004366F1">
      <w:pPr>
        <w:tabs>
          <w:tab w:val="left" w:pos="-180"/>
        </w:tabs>
        <w:suppressAutoHyphens/>
        <w:spacing w:after="180" w:line="288" w:lineRule="auto"/>
        <w:rPr>
          <w:rFonts w:asciiTheme="minorHAnsi" w:hAnsiTheme="minorHAnsi" w:cstheme="minorHAnsi"/>
          <w:sz w:val="22"/>
          <w:szCs w:val="22"/>
        </w:rPr>
      </w:pPr>
      <w:r w:rsidRPr="008012BB">
        <w:rPr>
          <w:rFonts w:asciiTheme="minorHAnsi" w:hAnsiTheme="minorHAnsi" w:cstheme="minorHAnsi"/>
          <w:noProof/>
          <w:sz w:val="22"/>
          <w:szCs w:val="22"/>
          <w:lang w:val="en-IE" w:eastAsia="en-IE"/>
        </w:rPr>
        <w:drawing>
          <wp:inline distT="0" distB="0" distL="0" distR="0">
            <wp:extent cx="4324350" cy="2160000"/>
            <wp:effectExtent l="0" t="0" r="0" b="0"/>
            <wp:docPr id="3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asciiTheme="minorHAnsi" w:hAnsiTheme="minorHAnsi" w:cstheme="minorHAnsi"/>
          <w:sz w:val="22"/>
          <w:szCs w:val="22"/>
        </w:rPr>
        <w:t>Almost half of respondents (45%) agreed with the statement that ‘Once a new</w:t>
      </w:r>
      <w:r w:rsidRPr="00150BED">
        <w:rPr>
          <w:rFonts w:asciiTheme="minorHAnsi" w:hAnsiTheme="minorHAnsi" w:cstheme="minorHAnsi"/>
          <w:sz w:val="22"/>
          <w:szCs w:val="22"/>
        </w:rPr>
        <w:t xml:space="preserve"> sexual partner has become a regular partner, I would not really feel the need to use </w:t>
      </w:r>
      <w:r>
        <w:rPr>
          <w:rFonts w:asciiTheme="minorHAnsi" w:hAnsiTheme="minorHAnsi" w:cstheme="minorHAnsi"/>
          <w:sz w:val="22"/>
          <w:szCs w:val="22"/>
        </w:rPr>
        <w:t xml:space="preserve">condoms’, although 35% disagreed with this statement.  </w:t>
      </w:r>
      <w:r w:rsidR="001F538D">
        <w:rPr>
          <w:rFonts w:asciiTheme="minorHAnsi" w:hAnsiTheme="minorHAnsi" w:cstheme="minorHAnsi"/>
          <w:sz w:val="22"/>
          <w:szCs w:val="22"/>
        </w:rPr>
        <w:t>F</w:t>
      </w:r>
      <w:r>
        <w:rPr>
          <w:rFonts w:asciiTheme="minorHAnsi" w:hAnsiTheme="minorHAnsi" w:cstheme="minorHAnsi"/>
          <w:sz w:val="22"/>
          <w:szCs w:val="22"/>
        </w:rPr>
        <w:t>emales were more likely to disagree</w:t>
      </w:r>
      <w:r w:rsidR="001F538D">
        <w:rPr>
          <w:rFonts w:asciiTheme="minorHAnsi" w:hAnsiTheme="minorHAnsi" w:cstheme="minorHAnsi"/>
          <w:sz w:val="22"/>
          <w:szCs w:val="22"/>
        </w:rPr>
        <w:t xml:space="preserve"> with the statement</w:t>
      </w:r>
      <w:r>
        <w:rPr>
          <w:rFonts w:asciiTheme="minorHAnsi" w:hAnsiTheme="minorHAnsi" w:cstheme="minorHAnsi"/>
          <w:sz w:val="22"/>
          <w:szCs w:val="22"/>
        </w:rPr>
        <w:t xml:space="preserve"> (37%) than males (31%).</w:t>
      </w:r>
    </w:p>
    <w:p w:rsidR="00760B36" w:rsidRPr="00253812" w:rsidRDefault="00760B36" w:rsidP="00760B36">
      <w:pPr>
        <w:tabs>
          <w:tab w:val="left" w:pos="-180"/>
        </w:tabs>
        <w:suppressAutoHyphens/>
        <w:rPr>
          <w:rFonts w:asciiTheme="minorHAnsi" w:hAnsiTheme="minorHAnsi" w:cstheme="minorHAnsi"/>
          <w:b/>
        </w:rPr>
      </w:pPr>
      <w:r w:rsidRPr="00253812">
        <w:rPr>
          <w:rFonts w:asciiTheme="minorHAnsi" w:hAnsiTheme="minorHAnsi" w:cstheme="minorHAnsi"/>
          <w:b/>
        </w:rPr>
        <w:t>Once a new sexual partner has become a regular partner, I would not real</w:t>
      </w:r>
      <w:r>
        <w:rPr>
          <w:rFonts w:asciiTheme="minorHAnsi" w:hAnsiTheme="minorHAnsi" w:cstheme="minorHAnsi"/>
          <w:b/>
        </w:rPr>
        <w:t>ly feel the need to use condoms</w:t>
      </w:r>
    </w:p>
    <w:p w:rsidR="001F538D" w:rsidRDefault="00760B36" w:rsidP="00760B36">
      <w:pPr>
        <w:tabs>
          <w:tab w:val="left" w:pos="-180"/>
        </w:tabs>
        <w:suppressAutoHyphens/>
        <w:spacing w:after="120"/>
        <w:rPr>
          <w:rFonts w:asciiTheme="minorHAnsi" w:hAnsiTheme="minorHAnsi" w:cstheme="minorHAnsi"/>
          <w:sz w:val="22"/>
          <w:szCs w:val="22"/>
        </w:rPr>
      </w:pPr>
      <w:r w:rsidRPr="00D56F6B">
        <w:rPr>
          <w:rFonts w:asciiTheme="minorHAnsi" w:hAnsiTheme="minorHAnsi" w:cstheme="minorHAnsi"/>
          <w:noProof/>
          <w:sz w:val="22"/>
          <w:szCs w:val="22"/>
          <w:lang w:val="en-IE" w:eastAsia="en-IE"/>
        </w:rPr>
        <w:drawing>
          <wp:inline distT="0" distB="0" distL="0" distR="0">
            <wp:extent cx="4324350" cy="2160000"/>
            <wp:effectExtent l="0" t="0" r="0" b="0"/>
            <wp:docPr id="3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60B36" w:rsidRDefault="001F538D" w:rsidP="00002695">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Broadly equivalent proportions of respondents</w:t>
      </w:r>
      <w:r w:rsidR="00760B36">
        <w:rPr>
          <w:rFonts w:asciiTheme="minorHAnsi" w:hAnsiTheme="minorHAnsi" w:cstheme="minorHAnsi"/>
          <w:sz w:val="22"/>
          <w:szCs w:val="22"/>
        </w:rPr>
        <w:t xml:space="preserve"> agreed (40%) and disagreed (42%) with the statement ‘</w:t>
      </w:r>
      <w:r w:rsidR="00760B36" w:rsidRPr="008F18E5">
        <w:rPr>
          <w:rFonts w:asciiTheme="minorHAnsi" w:hAnsiTheme="minorHAnsi" w:cstheme="minorHAnsi"/>
          <w:sz w:val="22"/>
          <w:szCs w:val="22"/>
        </w:rPr>
        <w:t xml:space="preserve">If a partner had taken an STI test and had been given the all clear I would not really feel the need to use </w:t>
      </w:r>
      <w:r w:rsidR="00760B36">
        <w:rPr>
          <w:rFonts w:asciiTheme="minorHAnsi" w:hAnsiTheme="minorHAnsi" w:cstheme="minorHAnsi"/>
          <w:sz w:val="22"/>
          <w:szCs w:val="22"/>
        </w:rPr>
        <w:t>condoms’.  Females were more likely to disagree with the statement (45%) than males (37%).</w:t>
      </w:r>
    </w:p>
    <w:p w:rsidR="00760B36" w:rsidRPr="00EF4F3A" w:rsidRDefault="00760B36" w:rsidP="00760B36">
      <w:pPr>
        <w:tabs>
          <w:tab w:val="left" w:pos="-180"/>
        </w:tabs>
        <w:suppressAutoHyphens/>
        <w:rPr>
          <w:rFonts w:asciiTheme="minorHAnsi" w:hAnsiTheme="minorHAnsi" w:cstheme="minorHAnsi"/>
          <w:b/>
        </w:rPr>
      </w:pPr>
      <w:r w:rsidRPr="00EF4F3A">
        <w:rPr>
          <w:rFonts w:asciiTheme="minorHAnsi" w:hAnsiTheme="minorHAnsi" w:cstheme="minorHAnsi"/>
          <w:b/>
        </w:rPr>
        <w:t>If a partner had taken an STI test and had been given the all clear I would not really feel the need to use condoms</w:t>
      </w:r>
    </w:p>
    <w:p w:rsidR="00760B36" w:rsidRDefault="00760B36" w:rsidP="00EB0AC3">
      <w:pPr>
        <w:tabs>
          <w:tab w:val="left" w:pos="-180"/>
        </w:tabs>
        <w:suppressAutoHyphens/>
        <w:spacing w:after="120" w:line="288" w:lineRule="auto"/>
        <w:rPr>
          <w:rFonts w:asciiTheme="minorHAnsi" w:hAnsiTheme="minorHAnsi" w:cstheme="minorHAnsi"/>
          <w:sz w:val="22"/>
          <w:szCs w:val="22"/>
        </w:rPr>
      </w:pPr>
      <w:r w:rsidRPr="00196224">
        <w:rPr>
          <w:rFonts w:asciiTheme="minorHAnsi" w:hAnsiTheme="minorHAnsi" w:cstheme="minorHAnsi"/>
          <w:noProof/>
          <w:sz w:val="22"/>
          <w:szCs w:val="22"/>
          <w:lang w:val="en-IE" w:eastAsia="en-IE"/>
        </w:rPr>
        <w:drawing>
          <wp:inline distT="0" distB="0" distL="0" distR="0">
            <wp:extent cx="4324350" cy="2088000"/>
            <wp:effectExtent l="0" t="0" r="0" b="0"/>
            <wp:docPr id="3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asciiTheme="minorHAnsi" w:hAnsiTheme="minorHAnsi" w:cstheme="minorHAnsi"/>
          <w:sz w:val="22"/>
          <w:szCs w:val="22"/>
        </w:rPr>
        <w:t xml:space="preserve">The same </w:t>
      </w:r>
      <w:r w:rsidR="009209FB">
        <w:rPr>
          <w:rFonts w:asciiTheme="minorHAnsi" w:hAnsiTheme="minorHAnsi" w:cstheme="minorHAnsi"/>
          <w:sz w:val="22"/>
          <w:szCs w:val="22"/>
        </w:rPr>
        <w:t>proportion</w:t>
      </w:r>
      <w:r>
        <w:rPr>
          <w:rFonts w:asciiTheme="minorHAnsi" w:hAnsiTheme="minorHAnsi" w:cstheme="minorHAnsi"/>
          <w:sz w:val="22"/>
          <w:szCs w:val="22"/>
        </w:rPr>
        <w:t xml:space="preserve"> of respondents agreed (34%) as disagreed with the statement ‘</w:t>
      </w:r>
      <w:r w:rsidRPr="00045FEB">
        <w:rPr>
          <w:rFonts w:asciiTheme="minorHAnsi" w:hAnsiTheme="minorHAnsi" w:cstheme="minorHAnsi"/>
          <w:sz w:val="22"/>
          <w:szCs w:val="22"/>
        </w:rPr>
        <w:t xml:space="preserve">It is necessary to use </w:t>
      </w:r>
      <w:r>
        <w:rPr>
          <w:rFonts w:asciiTheme="minorHAnsi" w:hAnsiTheme="minorHAnsi" w:cstheme="minorHAnsi"/>
          <w:sz w:val="22"/>
          <w:szCs w:val="22"/>
        </w:rPr>
        <w:t>condoms</w:t>
      </w:r>
      <w:r w:rsidRPr="00045FEB">
        <w:rPr>
          <w:rFonts w:asciiTheme="minorHAnsi" w:hAnsiTheme="minorHAnsi" w:cstheme="minorHAnsi"/>
          <w:sz w:val="22"/>
          <w:szCs w:val="22"/>
        </w:rPr>
        <w:t xml:space="preserve"> when engaging in oral sex</w:t>
      </w:r>
      <w:r>
        <w:rPr>
          <w:rFonts w:asciiTheme="minorHAnsi" w:hAnsiTheme="minorHAnsi" w:cstheme="minorHAnsi"/>
          <w:sz w:val="22"/>
          <w:szCs w:val="22"/>
        </w:rPr>
        <w:t xml:space="preserve">’.  </w:t>
      </w:r>
      <w:r w:rsidR="009209FB">
        <w:rPr>
          <w:rFonts w:asciiTheme="minorHAnsi" w:hAnsiTheme="minorHAnsi" w:cstheme="minorHAnsi"/>
          <w:sz w:val="22"/>
          <w:szCs w:val="22"/>
        </w:rPr>
        <w:t>M</w:t>
      </w:r>
      <w:r>
        <w:rPr>
          <w:rFonts w:asciiTheme="minorHAnsi" w:hAnsiTheme="minorHAnsi" w:cstheme="minorHAnsi"/>
          <w:sz w:val="22"/>
          <w:szCs w:val="22"/>
        </w:rPr>
        <w:t>ales were more likely to disagree with the statement (43%) than females (27%).</w:t>
      </w:r>
    </w:p>
    <w:p w:rsidR="00002695" w:rsidRDefault="00760B36" w:rsidP="00871720">
      <w:pPr>
        <w:tabs>
          <w:tab w:val="left" w:pos="-180"/>
        </w:tabs>
        <w:suppressAutoHyphens/>
        <w:spacing w:before="240" w:after="60"/>
        <w:rPr>
          <w:rFonts w:asciiTheme="minorHAnsi" w:hAnsiTheme="minorHAnsi" w:cstheme="minorHAnsi"/>
          <w:b/>
          <w:color w:val="4F81BD" w:themeColor="accent1"/>
          <w:sz w:val="22"/>
          <w:szCs w:val="22"/>
        </w:rPr>
      </w:pPr>
      <w:r w:rsidRPr="00196224">
        <w:rPr>
          <w:rFonts w:asciiTheme="minorHAnsi" w:hAnsiTheme="minorHAnsi" w:cstheme="minorHAnsi"/>
          <w:noProof/>
          <w:sz w:val="22"/>
          <w:szCs w:val="22"/>
          <w:lang w:val="en-IE" w:eastAsia="en-IE"/>
        </w:rPr>
        <w:drawing>
          <wp:inline distT="0" distB="0" distL="0" distR="0">
            <wp:extent cx="4324350" cy="2340000"/>
            <wp:effectExtent l="19050" t="0" r="0" b="0"/>
            <wp:docPr id="3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60B36" w:rsidRPr="00002695" w:rsidRDefault="00760B36" w:rsidP="00002695">
      <w:pPr>
        <w:tabs>
          <w:tab w:val="left" w:pos="-180"/>
        </w:tabs>
        <w:suppressAutoHyphens/>
        <w:spacing w:before="240" w:after="120"/>
        <w:rPr>
          <w:rFonts w:asciiTheme="minorHAnsi" w:hAnsiTheme="minorHAnsi" w:cstheme="minorHAnsi"/>
          <w:color w:val="C0504D" w:themeColor="accent2"/>
          <w:sz w:val="22"/>
          <w:szCs w:val="22"/>
        </w:rPr>
      </w:pPr>
      <w:r w:rsidRPr="00002695">
        <w:rPr>
          <w:rFonts w:asciiTheme="minorHAnsi" w:hAnsiTheme="minorHAnsi" w:cstheme="minorHAnsi"/>
          <w:b/>
          <w:color w:val="C0504D" w:themeColor="accent2"/>
          <w:sz w:val="22"/>
          <w:szCs w:val="22"/>
        </w:rPr>
        <w:t>Perceived risk of getting an STI</w:t>
      </w:r>
    </w:p>
    <w:p w:rsidR="00760B36" w:rsidRDefault="004D3D47" w:rsidP="00EB0AC3">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Two-thirds</w:t>
      </w:r>
      <w:r w:rsidR="00760B36">
        <w:rPr>
          <w:rFonts w:asciiTheme="minorHAnsi" w:hAnsiTheme="minorHAnsi" w:cstheme="minorHAnsi"/>
          <w:sz w:val="22"/>
          <w:szCs w:val="22"/>
        </w:rPr>
        <w:t xml:space="preserve"> of respondents </w:t>
      </w:r>
      <w:r>
        <w:rPr>
          <w:rFonts w:asciiTheme="minorHAnsi" w:hAnsiTheme="minorHAnsi" w:cstheme="minorHAnsi"/>
          <w:sz w:val="22"/>
          <w:szCs w:val="22"/>
        </w:rPr>
        <w:t xml:space="preserve">(68%) </w:t>
      </w:r>
      <w:r w:rsidR="00760B36">
        <w:rPr>
          <w:rFonts w:asciiTheme="minorHAnsi" w:hAnsiTheme="minorHAnsi" w:cstheme="minorHAnsi"/>
          <w:sz w:val="22"/>
          <w:szCs w:val="22"/>
        </w:rPr>
        <w:t>thought they were</w:t>
      </w:r>
      <w:r w:rsidR="00760B36" w:rsidRPr="008A1F6F">
        <w:rPr>
          <w:rFonts w:asciiTheme="minorHAnsi" w:hAnsiTheme="minorHAnsi" w:cstheme="minorHAnsi"/>
          <w:sz w:val="22"/>
          <w:szCs w:val="22"/>
        </w:rPr>
        <w:t xml:space="preserve"> </w:t>
      </w:r>
      <w:r w:rsidR="00760B36">
        <w:rPr>
          <w:rFonts w:asciiTheme="minorHAnsi" w:hAnsiTheme="minorHAnsi" w:cstheme="minorHAnsi"/>
          <w:sz w:val="22"/>
          <w:szCs w:val="22"/>
        </w:rPr>
        <w:t>n</w:t>
      </w:r>
      <w:r w:rsidR="00760B36" w:rsidRPr="008A1F6F">
        <w:rPr>
          <w:rFonts w:asciiTheme="minorHAnsi" w:hAnsiTheme="minorHAnsi" w:cstheme="minorHAnsi"/>
          <w:sz w:val="22"/>
          <w:szCs w:val="22"/>
        </w:rPr>
        <w:t>ot at all at risk</w:t>
      </w:r>
      <w:r w:rsidR="00760B36">
        <w:rPr>
          <w:rFonts w:asciiTheme="minorHAnsi" w:hAnsiTheme="minorHAnsi" w:cstheme="minorHAnsi"/>
          <w:sz w:val="22"/>
          <w:szCs w:val="22"/>
        </w:rPr>
        <w:t xml:space="preserve"> of getting an STI, while 6% thought that they were g</w:t>
      </w:r>
      <w:r w:rsidR="00760B36" w:rsidRPr="008A1F6F">
        <w:rPr>
          <w:rFonts w:asciiTheme="minorHAnsi" w:hAnsiTheme="minorHAnsi" w:cstheme="minorHAnsi"/>
          <w:sz w:val="22"/>
          <w:szCs w:val="22"/>
        </w:rPr>
        <w:t xml:space="preserve">reatly </w:t>
      </w:r>
      <w:r w:rsidR="00760B36">
        <w:rPr>
          <w:rFonts w:asciiTheme="minorHAnsi" w:hAnsiTheme="minorHAnsi" w:cstheme="minorHAnsi"/>
          <w:sz w:val="22"/>
          <w:szCs w:val="22"/>
        </w:rPr>
        <w:t>or m</w:t>
      </w:r>
      <w:r w:rsidR="00760B36" w:rsidRPr="008A1F6F">
        <w:rPr>
          <w:rFonts w:asciiTheme="minorHAnsi" w:hAnsiTheme="minorHAnsi" w:cstheme="minorHAnsi"/>
          <w:sz w:val="22"/>
          <w:szCs w:val="22"/>
        </w:rPr>
        <w:t>oderately at risk</w:t>
      </w:r>
      <w:r w:rsidR="00760B36">
        <w:rPr>
          <w:rFonts w:asciiTheme="minorHAnsi" w:hAnsiTheme="minorHAnsi" w:cstheme="minorHAnsi"/>
          <w:sz w:val="22"/>
          <w:szCs w:val="22"/>
        </w:rPr>
        <w:t xml:space="preserve">. </w:t>
      </w:r>
    </w:p>
    <w:p w:rsidR="00760B36" w:rsidRDefault="00760B36" w:rsidP="00A929E6">
      <w:pPr>
        <w:tabs>
          <w:tab w:val="left" w:pos="-180"/>
        </w:tabs>
        <w:suppressAutoHyphens/>
        <w:spacing w:after="240" w:line="288" w:lineRule="auto"/>
        <w:rPr>
          <w:rFonts w:asciiTheme="minorHAnsi" w:hAnsiTheme="minorHAnsi" w:cstheme="minorHAnsi"/>
          <w:sz w:val="22"/>
          <w:szCs w:val="22"/>
        </w:rPr>
      </w:pPr>
      <w:r>
        <w:rPr>
          <w:rFonts w:asciiTheme="minorHAnsi" w:hAnsiTheme="minorHAnsi" w:cstheme="minorHAnsi"/>
          <w:sz w:val="22"/>
          <w:szCs w:val="22"/>
        </w:rPr>
        <w:t xml:space="preserve">Of those who thought they were not at all at risk, </w:t>
      </w:r>
      <w:r w:rsidR="001021A4">
        <w:rPr>
          <w:rFonts w:asciiTheme="minorHAnsi" w:hAnsiTheme="minorHAnsi" w:cstheme="minorHAnsi"/>
          <w:sz w:val="22"/>
          <w:szCs w:val="22"/>
        </w:rPr>
        <w:t>the majority (</w:t>
      </w:r>
      <w:r>
        <w:rPr>
          <w:rFonts w:asciiTheme="minorHAnsi" w:hAnsiTheme="minorHAnsi" w:cstheme="minorHAnsi"/>
          <w:sz w:val="22"/>
          <w:szCs w:val="22"/>
        </w:rPr>
        <w:t>90%</w:t>
      </w:r>
      <w:r w:rsidR="001021A4">
        <w:rPr>
          <w:rFonts w:asciiTheme="minorHAnsi" w:hAnsiTheme="minorHAnsi" w:cstheme="minorHAnsi"/>
          <w:sz w:val="22"/>
          <w:szCs w:val="22"/>
        </w:rPr>
        <w:t>)</w:t>
      </w:r>
      <w:r>
        <w:rPr>
          <w:rFonts w:asciiTheme="minorHAnsi" w:hAnsiTheme="minorHAnsi" w:cstheme="minorHAnsi"/>
          <w:sz w:val="22"/>
          <w:szCs w:val="22"/>
        </w:rPr>
        <w:t xml:space="preserve"> had slept with one or no part</w:t>
      </w:r>
      <w:r w:rsidR="001021A4">
        <w:rPr>
          <w:rFonts w:asciiTheme="minorHAnsi" w:hAnsiTheme="minorHAnsi" w:cstheme="minorHAnsi"/>
          <w:sz w:val="22"/>
          <w:szCs w:val="22"/>
        </w:rPr>
        <w:t>ners in the last twelve months.  Three-fifths of those (</w:t>
      </w:r>
      <w:r>
        <w:rPr>
          <w:rFonts w:asciiTheme="minorHAnsi" w:hAnsiTheme="minorHAnsi" w:cstheme="minorHAnsi"/>
          <w:sz w:val="22"/>
          <w:szCs w:val="22"/>
        </w:rPr>
        <w:t>60%</w:t>
      </w:r>
      <w:r w:rsidR="001021A4">
        <w:rPr>
          <w:rFonts w:asciiTheme="minorHAnsi" w:hAnsiTheme="minorHAnsi" w:cstheme="minorHAnsi"/>
          <w:sz w:val="22"/>
          <w:szCs w:val="22"/>
        </w:rPr>
        <w:t>)</w:t>
      </w:r>
      <w:r>
        <w:rPr>
          <w:rFonts w:asciiTheme="minorHAnsi" w:hAnsiTheme="minorHAnsi" w:cstheme="minorHAnsi"/>
          <w:sz w:val="22"/>
          <w:szCs w:val="22"/>
        </w:rPr>
        <w:t xml:space="preserve"> who thought that they were g</w:t>
      </w:r>
      <w:r w:rsidRPr="008A1F6F">
        <w:rPr>
          <w:rFonts w:asciiTheme="minorHAnsi" w:hAnsiTheme="minorHAnsi" w:cstheme="minorHAnsi"/>
          <w:sz w:val="22"/>
          <w:szCs w:val="22"/>
        </w:rPr>
        <w:t xml:space="preserve">reatly </w:t>
      </w:r>
      <w:r>
        <w:rPr>
          <w:rFonts w:asciiTheme="minorHAnsi" w:hAnsiTheme="minorHAnsi" w:cstheme="minorHAnsi"/>
          <w:sz w:val="22"/>
          <w:szCs w:val="22"/>
        </w:rPr>
        <w:t>or m</w:t>
      </w:r>
      <w:r w:rsidRPr="008A1F6F">
        <w:rPr>
          <w:rFonts w:asciiTheme="minorHAnsi" w:hAnsiTheme="minorHAnsi" w:cstheme="minorHAnsi"/>
          <w:sz w:val="22"/>
          <w:szCs w:val="22"/>
        </w:rPr>
        <w:t>oderately at risk</w:t>
      </w:r>
      <w:r w:rsidRPr="00477820">
        <w:rPr>
          <w:rFonts w:asciiTheme="minorHAnsi" w:hAnsiTheme="minorHAnsi" w:cstheme="minorHAnsi"/>
          <w:sz w:val="22"/>
          <w:szCs w:val="22"/>
        </w:rPr>
        <w:t xml:space="preserve"> </w:t>
      </w:r>
      <w:r>
        <w:rPr>
          <w:rFonts w:asciiTheme="minorHAnsi" w:hAnsiTheme="minorHAnsi" w:cstheme="minorHAnsi"/>
          <w:sz w:val="22"/>
          <w:szCs w:val="22"/>
        </w:rPr>
        <w:t>had slept with two or more partners in the last twelve months.</w:t>
      </w:r>
    </w:p>
    <w:p w:rsidR="00760B36" w:rsidRDefault="00760B36" w:rsidP="00760B36">
      <w:pPr>
        <w:tabs>
          <w:tab w:val="center" w:pos="4075"/>
        </w:tabs>
        <w:autoSpaceDE w:val="0"/>
        <w:autoSpaceDN w:val="0"/>
        <w:adjustRightInd w:val="0"/>
        <w:rPr>
          <w:rFonts w:asciiTheme="minorHAnsi" w:hAnsiTheme="minorHAnsi" w:cstheme="minorHAnsi"/>
          <w:sz w:val="22"/>
          <w:szCs w:val="22"/>
        </w:rPr>
      </w:pPr>
      <w:r w:rsidRPr="00A71201">
        <w:rPr>
          <w:rFonts w:asciiTheme="minorHAnsi" w:hAnsiTheme="minorHAnsi" w:cstheme="minorHAnsi"/>
          <w:noProof/>
          <w:sz w:val="22"/>
          <w:szCs w:val="22"/>
          <w:lang w:val="en-IE" w:eastAsia="en-IE"/>
        </w:rPr>
        <w:drawing>
          <wp:inline distT="0" distB="0" distL="0" distR="0">
            <wp:extent cx="4324350" cy="2700000"/>
            <wp:effectExtent l="19050" t="0" r="0" b="0"/>
            <wp:docPr id="4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60B36" w:rsidRDefault="00760B36" w:rsidP="00A929E6">
      <w:pPr>
        <w:tabs>
          <w:tab w:val="left" w:pos="-180"/>
        </w:tabs>
        <w:suppressAutoHyphens/>
        <w:spacing w:before="240" w:after="120" w:line="288" w:lineRule="auto"/>
        <w:rPr>
          <w:rFonts w:asciiTheme="minorHAnsi" w:hAnsiTheme="minorHAnsi" w:cstheme="minorHAnsi"/>
          <w:sz w:val="22"/>
          <w:szCs w:val="22"/>
        </w:rPr>
      </w:pPr>
      <w:r>
        <w:rPr>
          <w:rFonts w:asciiTheme="minorHAnsi" w:hAnsiTheme="minorHAnsi" w:cstheme="minorHAnsi"/>
          <w:sz w:val="22"/>
          <w:szCs w:val="22"/>
        </w:rPr>
        <w:t xml:space="preserve">Of those who thought they were not at all at risk, </w:t>
      </w:r>
      <w:r w:rsidR="001021A4">
        <w:rPr>
          <w:rFonts w:asciiTheme="minorHAnsi" w:hAnsiTheme="minorHAnsi" w:cstheme="minorHAnsi"/>
          <w:sz w:val="22"/>
          <w:szCs w:val="22"/>
        </w:rPr>
        <w:t>two-thirds</w:t>
      </w:r>
      <w:r>
        <w:rPr>
          <w:rFonts w:asciiTheme="minorHAnsi" w:hAnsiTheme="minorHAnsi" w:cstheme="minorHAnsi"/>
          <w:sz w:val="22"/>
          <w:szCs w:val="22"/>
        </w:rPr>
        <w:t xml:space="preserve"> gave their reason for this that they were married or had one long-term partner.  Of those who thought that they were g</w:t>
      </w:r>
      <w:r w:rsidRPr="008A1F6F">
        <w:rPr>
          <w:rFonts w:asciiTheme="minorHAnsi" w:hAnsiTheme="minorHAnsi" w:cstheme="minorHAnsi"/>
          <w:sz w:val="22"/>
          <w:szCs w:val="22"/>
        </w:rPr>
        <w:t xml:space="preserve">reatly </w:t>
      </w:r>
      <w:r>
        <w:rPr>
          <w:rFonts w:asciiTheme="minorHAnsi" w:hAnsiTheme="minorHAnsi" w:cstheme="minorHAnsi"/>
          <w:sz w:val="22"/>
          <w:szCs w:val="22"/>
        </w:rPr>
        <w:t>or m</w:t>
      </w:r>
      <w:r w:rsidRPr="008A1F6F">
        <w:rPr>
          <w:rFonts w:asciiTheme="minorHAnsi" w:hAnsiTheme="minorHAnsi" w:cstheme="minorHAnsi"/>
          <w:sz w:val="22"/>
          <w:szCs w:val="22"/>
        </w:rPr>
        <w:t>oderately at risk</w:t>
      </w:r>
      <w:r>
        <w:rPr>
          <w:rFonts w:asciiTheme="minorHAnsi" w:hAnsiTheme="minorHAnsi" w:cstheme="minorHAnsi"/>
          <w:sz w:val="22"/>
          <w:szCs w:val="22"/>
        </w:rPr>
        <w:t>,</w:t>
      </w:r>
      <w:r w:rsidRPr="00477820">
        <w:rPr>
          <w:rFonts w:asciiTheme="minorHAnsi" w:hAnsiTheme="minorHAnsi" w:cstheme="minorHAnsi"/>
          <w:sz w:val="22"/>
          <w:szCs w:val="22"/>
        </w:rPr>
        <w:t xml:space="preserve"> </w:t>
      </w:r>
      <w:r>
        <w:rPr>
          <w:rFonts w:asciiTheme="minorHAnsi" w:hAnsiTheme="minorHAnsi" w:cstheme="minorHAnsi"/>
          <w:sz w:val="22"/>
          <w:szCs w:val="22"/>
        </w:rPr>
        <w:t>16% stated that they had many previous partners and 19% stated that they only use STI protection occasionally, while 9% did not use STI protection at all.</w:t>
      </w:r>
    </w:p>
    <w:p w:rsidR="00760B36" w:rsidRDefault="00760B36" w:rsidP="00760B36">
      <w:pPr>
        <w:tabs>
          <w:tab w:val="center" w:pos="4075"/>
        </w:tabs>
        <w:autoSpaceDE w:val="0"/>
        <w:autoSpaceDN w:val="0"/>
        <w:adjustRightInd w:val="0"/>
        <w:rPr>
          <w:rFonts w:asciiTheme="minorHAnsi" w:hAnsiTheme="minorHAnsi" w:cstheme="minorHAnsi"/>
          <w:sz w:val="22"/>
          <w:szCs w:val="22"/>
        </w:rPr>
      </w:pPr>
      <w:r w:rsidRPr="006E1B7E">
        <w:rPr>
          <w:rFonts w:asciiTheme="minorHAnsi" w:hAnsiTheme="minorHAnsi" w:cstheme="minorHAnsi"/>
          <w:noProof/>
          <w:sz w:val="22"/>
          <w:szCs w:val="22"/>
          <w:lang w:val="en-IE" w:eastAsia="en-IE"/>
        </w:rPr>
        <w:drawing>
          <wp:inline distT="0" distB="0" distL="0" distR="0">
            <wp:extent cx="4429125" cy="2808000"/>
            <wp:effectExtent l="19050" t="0" r="0" b="0"/>
            <wp:docPr id="3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D1308" w:rsidRDefault="00DD1308" w:rsidP="00DD1308">
      <w:pPr>
        <w:tabs>
          <w:tab w:val="left" w:pos="-180"/>
        </w:tabs>
        <w:suppressAutoHyphens/>
        <w:spacing w:before="240" w:after="120"/>
        <w:rPr>
          <w:rFonts w:asciiTheme="minorHAnsi" w:hAnsiTheme="minorHAnsi" w:cstheme="minorHAnsi"/>
          <w:b/>
          <w:color w:val="C0504D" w:themeColor="accent2"/>
          <w:sz w:val="22"/>
          <w:szCs w:val="22"/>
        </w:rPr>
      </w:pPr>
    </w:p>
    <w:p w:rsidR="00760B36" w:rsidRPr="00002695" w:rsidRDefault="00760B36" w:rsidP="00DD1308">
      <w:pPr>
        <w:tabs>
          <w:tab w:val="left" w:pos="-180"/>
        </w:tabs>
        <w:suppressAutoHyphens/>
        <w:spacing w:before="240" w:after="120"/>
        <w:rPr>
          <w:rFonts w:asciiTheme="minorHAnsi" w:hAnsiTheme="minorHAnsi" w:cstheme="minorHAnsi"/>
          <w:b/>
          <w:color w:val="C0504D" w:themeColor="accent2"/>
          <w:sz w:val="22"/>
          <w:szCs w:val="22"/>
        </w:rPr>
      </w:pPr>
      <w:r w:rsidRPr="00002695">
        <w:rPr>
          <w:rFonts w:asciiTheme="minorHAnsi" w:hAnsiTheme="minorHAnsi" w:cstheme="minorHAnsi"/>
          <w:b/>
          <w:color w:val="C0504D" w:themeColor="accent2"/>
          <w:sz w:val="22"/>
          <w:szCs w:val="22"/>
        </w:rPr>
        <w:t xml:space="preserve">Advice on STIs </w:t>
      </w:r>
    </w:p>
    <w:p w:rsidR="00760B36" w:rsidRDefault="00760B36" w:rsidP="00EB0AC3">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Almost </w:t>
      </w:r>
      <w:r w:rsidR="001021A4">
        <w:rPr>
          <w:rFonts w:asciiTheme="minorHAnsi" w:hAnsiTheme="minorHAnsi" w:cstheme="minorHAnsi"/>
          <w:sz w:val="22"/>
          <w:szCs w:val="22"/>
        </w:rPr>
        <w:t>a</w:t>
      </w:r>
      <w:r>
        <w:rPr>
          <w:rFonts w:asciiTheme="minorHAnsi" w:hAnsiTheme="minorHAnsi" w:cstheme="minorHAnsi"/>
          <w:sz w:val="22"/>
          <w:szCs w:val="22"/>
        </w:rPr>
        <w:t xml:space="preserve"> fifth of respondents had sought information or advice on STIs (19%), while 5% of respondents had </w:t>
      </w:r>
      <w:r w:rsidRPr="001C0CA2">
        <w:rPr>
          <w:rFonts w:asciiTheme="minorHAnsi" w:hAnsiTheme="minorHAnsi" w:cstheme="minorHAnsi"/>
          <w:sz w:val="22"/>
          <w:szCs w:val="22"/>
        </w:rPr>
        <w:t xml:space="preserve">been told </w:t>
      </w:r>
      <w:r>
        <w:rPr>
          <w:rFonts w:asciiTheme="minorHAnsi" w:hAnsiTheme="minorHAnsi" w:cstheme="minorHAnsi"/>
          <w:sz w:val="22"/>
          <w:szCs w:val="22"/>
        </w:rPr>
        <w:t xml:space="preserve">at least once </w:t>
      </w:r>
      <w:r w:rsidRPr="001C0CA2">
        <w:rPr>
          <w:rFonts w:asciiTheme="minorHAnsi" w:hAnsiTheme="minorHAnsi" w:cstheme="minorHAnsi"/>
          <w:sz w:val="22"/>
          <w:szCs w:val="22"/>
        </w:rPr>
        <w:t xml:space="preserve">by a doctor or other health professional that </w:t>
      </w:r>
      <w:r>
        <w:rPr>
          <w:rFonts w:asciiTheme="minorHAnsi" w:hAnsiTheme="minorHAnsi" w:cstheme="minorHAnsi"/>
          <w:sz w:val="22"/>
          <w:szCs w:val="22"/>
        </w:rPr>
        <w:t>they</w:t>
      </w:r>
      <w:r w:rsidRPr="001C0CA2">
        <w:rPr>
          <w:rFonts w:asciiTheme="minorHAnsi" w:hAnsiTheme="minorHAnsi" w:cstheme="minorHAnsi"/>
          <w:sz w:val="22"/>
          <w:szCs w:val="22"/>
        </w:rPr>
        <w:t xml:space="preserve"> had an STI</w:t>
      </w:r>
      <w:r>
        <w:rPr>
          <w:rFonts w:asciiTheme="minorHAnsi" w:hAnsiTheme="minorHAnsi" w:cstheme="minorHAnsi"/>
          <w:sz w:val="22"/>
          <w:szCs w:val="22"/>
        </w:rPr>
        <w:t>.</w:t>
      </w:r>
    </w:p>
    <w:p w:rsidR="00760B36" w:rsidRDefault="00760B36" w:rsidP="00EB0AC3">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 xml:space="preserve">Those respondents who had two or more partners </w:t>
      </w:r>
      <w:r w:rsidR="00CF1733">
        <w:rPr>
          <w:rFonts w:asciiTheme="minorHAnsi" w:hAnsiTheme="minorHAnsi" w:cstheme="minorHAnsi"/>
          <w:sz w:val="22"/>
          <w:szCs w:val="22"/>
        </w:rPr>
        <w:t xml:space="preserve">(33%) </w:t>
      </w:r>
      <w:r>
        <w:rPr>
          <w:rFonts w:asciiTheme="minorHAnsi" w:hAnsiTheme="minorHAnsi" w:cstheme="minorHAnsi"/>
          <w:sz w:val="22"/>
          <w:szCs w:val="22"/>
        </w:rPr>
        <w:t xml:space="preserve">in the last twelve months were twice as likely as those respondents who had one or no partners </w:t>
      </w:r>
      <w:r w:rsidR="00CF1733">
        <w:rPr>
          <w:rFonts w:asciiTheme="minorHAnsi" w:hAnsiTheme="minorHAnsi" w:cstheme="minorHAnsi"/>
          <w:sz w:val="22"/>
          <w:szCs w:val="22"/>
        </w:rPr>
        <w:t xml:space="preserve">(16%) </w:t>
      </w:r>
      <w:r>
        <w:rPr>
          <w:rFonts w:asciiTheme="minorHAnsi" w:hAnsiTheme="minorHAnsi" w:cstheme="minorHAnsi"/>
          <w:sz w:val="22"/>
          <w:szCs w:val="22"/>
        </w:rPr>
        <w:t>in the last twelve months to have sought information on STIs.</w:t>
      </w:r>
    </w:p>
    <w:p w:rsidR="00760B36" w:rsidRDefault="00760B36" w:rsidP="00760B36">
      <w:pPr>
        <w:tabs>
          <w:tab w:val="center" w:pos="4075"/>
        </w:tabs>
        <w:autoSpaceDE w:val="0"/>
        <w:autoSpaceDN w:val="0"/>
        <w:adjustRightInd w:val="0"/>
        <w:rPr>
          <w:rFonts w:asciiTheme="minorHAnsi" w:hAnsiTheme="minorHAnsi" w:cstheme="minorHAnsi"/>
          <w:sz w:val="22"/>
          <w:szCs w:val="22"/>
        </w:rPr>
      </w:pPr>
      <w:r w:rsidRPr="006D5575">
        <w:rPr>
          <w:rFonts w:asciiTheme="minorHAnsi" w:hAnsiTheme="minorHAnsi" w:cstheme="minorHAnsi"/>
          <w:noProof/>
          <w:sz w:val="22"/>
          <w:szCs w:val="22"/>
          <w:lang w:val="en-IE" w:eastAsia="en-IE"/>
        </w:rPr>
        <w:drawing>
          <wp:inline distT="0" distB="0" distL="0" distR="0">
            <wp:extent cx="4324350" cy="2520000"/>
            <wp:effectExtent l="19050" t="0" r="0" b="0"/>
            <wp:docPr id="4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60B36" w:rsidRDefault="001021A4" w:rsidP="00EB0AC3">
      <w:pPr>
        <w:tabs>
          <w:tab w:val="left" w:pos="-180"/>
        </w:tabs>
        <w:suppressAutoHyphens/>
        <w:spacing w:after="120" w:line="288" w:lineRule="auto"/>
        <w:rPr>
          <w:rFonts w:asciiTheme="minorHAnsi" w:hAnsiTheme="minorHAnsi" w:cstheme="minorHAnsi"/>
          <w:sz w:val="22"/>
          <w:szCs w:val="22"/>
        </w:rPr>
      </w:pPr>
      <w:r>
        <w:rPr>
          <w:rFonts w:asciiTheme="minorHAnsi" w:hAnsiTheme="minorHAnsi" w:cstheme="minorHAnsi"/>
          <w:sz w:val="22"/>
          <w:szCs w:val="22"/>
        </w:rPr>
        <w:t>For t</w:t>
      </w:r>
      <w:r w:rsidR="00760B36">
        <w:rPr>
          <w:rFonts w:asciiTheme="minorHAnsi" w:hAnsiTheme="minorHAnsi" w:cstheme="minorHAnsi"/>
          <w:sz w:val="22"/>
          <w:szCs w:val="22"/>
        </w:rPr>
        <w:t>hose respondents who had two or more partners in the last twelve months</w:t>
      </w:r>
      <w:r>
        <w:rPr>
          <w:rFonts w:asciiTheme="minorHAnsi" w:hAnsiTheme="minorHAnsi" w:cstheme="minorHAnsi"/>
          <w:sz w:val="22"/>
          <w:szCs w:val="22"/>
        </w:rPr>
        <w:t>,</w:t>
      </w:r>
      <w:r w:rsidR="00760B36">
        <w:rPr>
          <w:rFonts w:asciiTheme="minorHAnsi" w:hAnsiTheme="minorHAnsi" w:cstheme="minorHAnsi"/>
          <w:sz w:val="22"/>
          <w:szCs w:val="22"/>
        </w:rPr>
        <w:t xml:space="preserve"> </w:t>
      </w:r>
      <w:r>
        <w:rPr>
          <w:rFonts w:asciiTheme="minorHAnsi" w:hAnsiTheme="minorHAnsi" w:cstheme="minorHAnsi"/>
          <w:sz w:val="22"/>
          <w:szCs w:val="22"/>
        </w:rPr>
        <w:t xml:space="preserve">8% </w:t>
      </w:r>
      <w:r w:rsidR="00760B36">
        <w:rPr>
          <w:rFonts w:asciiTheme="minorHAnsi" w:hAnsiTheme="minorHAnsi" w:cstheme="minorHAnsi"/>
          <w:sz w:val="22"/>
          <w:szCs w:val="22"/>
        </w:rPr>
        <w:t>ha</w:t>
      </w:r>
      <w:r>
        <w:rPr>
          <w:rFonts w:asciiTheme="minorHAnsi" w:hAnsiTheme="minorHAnsi" w:cstheme="minorHAnsi"/>
          <w:sz w:val="22"/>
          <w:szCs w:val="22"/>
        </w:rPr>
        <w:t>d</w:t>
      </w:r>
      <w:r w:rsidR="00760B36">
        <w:rPr>
          <w:rFonts w:asciiTheme="minorHAnsi" w:hAnsiTheme="minorHAnsi" w:cstheme="minorHAnsi"/>
          <w:sz w:val="22"/>
          <w:szCs w:val="22"/>
        </w:rPr>
        <w:t xml:space="preserve"> been told by a doctor that they had an STI</w:t>
      </w:r>
      <w:r>
        <w:rPr>
          <w:rFonts w:asciiTheme="minorHAnsi" w:hAnsiTheme="minorHAnsi" w:cstheme="minorHAnsi"/>
          <w:sz w:val="22"/>
          <w:szCs w:val="22"/>
        </w:rPr>
        <w:t xml:space="preserve">.  This </w:t>
      </w:r>
      <w:r w:rsidR="00760B36">
        <w:rPr>
          <w:rFonts w:asciiTheme="minorHAnsi" w:hAnsiTheme="minorHAnsi" w:cstheme="minorHAnsi"/>
          <w:sz w:val="22"/>
          <w:szCs w:val="22"/>
        </w:rPr>
        <w:t>compare</w:t>
      </w:r>
      <w:r>
        <w:rPr>
          <w:rFonts w:asciiTheme="minorHAnsi" w:hAnsiTheme="minorHAnsi" w:cstheme="minorHAnsi"/>
          <w:sz w:val="22"/>
          <w:szCs w:val="22"/>
        </w:rPr>
        <w:t>s</w:t>
      </w:r>
      <w:r w:rsidR="00760B36">
        <w:rPr>
          <w:rFonts w:asciiTheme="minorHAnsi" w:hAnsiTheme="minorHAnsi" w:cstheme="minorHAnsi"/>
          <w:sz w:val="22"/>
          <w:szCs w:val="22"/>
        </w:rPr>
        <w:t xml:space="preserve"> with 5%</w:t>
      </w:r>
      <w:r w:rsidRPr="001021A4">
        <w:rPr>
          <w:rFonts w:asciiTheme="minorHAnsi" w:hAnsiTheme="minorHAnsi" w:cstheme="minorHAnsi"/>
          <w:sz w:val="22"/>
          <w:szCs w:val="22"/>
        </w:rPr>
        <w:t xml:space="preserve"> </w:t>
      </w:r>
      <w:r>
        <w:rPr>
          <w:rFonts w:asciiTheme="minorHAnsi" w:hAnsiTheme="minorHAnsi" w:cstheme="minorHAnsi"/>
          <w:sz w:val="22"/>
          <w:szCs w:val="22"/>
        </w:rPr>
        <w:t>of those with zero or one partners.</w:t>
      </w:r>
    </w:p>
    <w:p w:rsidR="00760B36" w:rsidRDefault="00760B36" w:rsidP="00760B36">
      <w:pPr>
        <w:tabs>
          <w:tab w:val="center" w:pos="4075"/>
        </w:tabs>
        <w:autoSpaceDE w:val="0"/>
        <w:autoSpaceDN w:val="0"/>
        <w:adjustRightInd w:val="0"/>
        <w:rPr>
          <w:rFonts w:asciiTheme="minorHAnsi" w:hAnsiTheme="minorHAnsi" w:cstheme="minorHAnsi"/>
          <w:sz w:val="22"/>
          <w:szCs w:val="22"/>
        </w:rPr>
      </w:pPr>
      <w:r w:rsidRPr="006D5575">
        <w:rPr>
          <w:rFonts w:asciiTheme="minorHAnsi" w:hAnsiTheme="minorHAnsi" w:cstheme="minorHAnsi"/>
          <w:noProof/>
          <w:sz w:val="22"/>
          <w:szCs w:val="22"/>
          <w:lang w:val="en-IE" w:eastAsia="en-IE"/>
        </w:rPr>
        <w:drawing>
          <wp:inline distT="0" distB="0" distL="0" distR="0">
            <wp:extent cx="4533900" cy="2520000"/>
            <wp:effectExtent l="0" t="0" r="0" b="0"/>
            <wp:docPr id="4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60B36" w:rsidRDefault="00760B36" w:rsidP="00760B36">
      <w:pPr>
        <w:tabs>
          <w:tab w:val="center" w:pos="4075"/>
        </w:tabs>
        <w:autoSpaceDE w:val="0"/>
        <w:autoSpaceDN w:val="0"/>
        <w:adjustRightInd w:val="0"/>
        <w:rPr>
          <w:rFonts w:asciiTheme="minorHAnsi" w:hAnsiTheme="minorHAnsi" w:cstheme="minorHAnsi"/>
          <w:sz w:val="22"/>
          <w:szCs w:val="22"/>
        </w:rPr>
      </w:pPr>
    </w:p>
    <w:p w:rsidR="00AD2B70" w:rsidRDefault="00AD2B70" w:rsidP="00AD2B70">
      <w:pPr>
        <w:tabs>
          <w:tab w:val="left" w:pos="-180"/>
        </w:tabs>
        <w:suppressAutoHyphens/>
        <w:spacing w:before="240" w:after="120"/>
        <w:rPr>
          <w:rFonts w:asciiTheme="minorHAnsi" w:hAnsiTheme="minorHAnsi" w:cstheme="minorHAnsi"/>
          <w:b/>
          <w:color w:val="4F81BD" w:themeColor="accent1"/>
          <w:sz w:val="24"/>
          <w:szCs w:val="24"/>
        </w:rPr>
        <w:sectPr w:rsidR="00AD2B70" w:rsidSect="007033B0">
          <w:pgSz w:w="16838" w:h="11906" w:orient="landscape"/>
          <w:pgMar w:top="737" w:right="1247" w:bottom="737" w:left="1247" w:header="454" w:footer="567" w:gutter="0"/>
          <w:cols w:num="2" w:space="454"/>
          <w:docGrid w:linePitch="360"/>
        </w:sectPr>
      </w:pPr>
      <w:bookmarkStart w:id="57" w:name="_Ref381945961"/>
    </w:p>
    <w:tbl>
      <w:tblPr>
        <w:tblStyle w:val="TableGrid"/>
        <w:tblpPr w:leftFromText="180" w:rightFromText="180" w:vertAnchor="page" w:horzAnchor="margin" w:tblpY="886"/>
        <w:tblW w:w="7161" w:type="dxa"/>
        <w:tblLook w:val="04A0" w:firstRow="1" w:lastRow="0" w:firstColumn="1" w:lastColumn="0" w:noHBand="0" w:noVBand="1"/>
      </w:tblPr>
      <w:tblGrid>
        <w:gridCol w:w="1184"/>
        <w:gridCol w:w="5977"/>
      </w:tblGrid>
      <w:tr w:rsidR="00B27573" w:rsidRPr="00DC2342" w:rsidTr="003F36AB">
        <w:trPr>
          <w:cantSplit/>
          <w:trHeight w:val="1928"/>
        </w:trPr>
        <w:tc>
          <w:tcPr>
            <w:tcW w:w="1184" w:type="dxa"/>
            <w:vMerge w:val="restart"/>
            <w:tcBorders>
              <w:top w:val="single" w:sz="4" w:space="0" w:color="95B3D7" w:themeColor="accent1" w:themeTint="99"/>
              <w:left w:val="single" w:sz="4" w:space="0" w:color="95B3D7" w:themeColor="accent1" w:themeTint="99"/>
              <w:right w:val="thinThickSmallGap" w:sz="24" w:space="0" w:color="F2DBDB" w:themeColor="accent2" w:themeTint="33"/>
            </w:tcBorders>
            <w:shd w:val="clear" w:color="auto" w:fill="8064A2" w:themeFill="accent4"/>
            <w:textDirection w:val="btLr"/>
          </w:tcPr>
          <w:p w:rsidR="00B27573" w:rsidRPr="00967502" w:rsidRDefault="00B27573" w:rsidP="00B27573">
            <w:pPr>
              <w:pStyle w:val="Heading2"/>
              <w:spacing w:before="0" w:after="60"/>
              <w:ind w:left="113" w:right="113"/>
              <w:jc w:val="center"/>
              <w:outlineLvl w:val="1"/>
              <w:rPr>
                <w:rFonts w:ascii="Calibri" w:hAnsi="Calibri" w:cs="Calibri"/>
                <w:i/>
                <w:color w:val="F2DBDB" w:themeColor="accent2" w:themeTint="33"/>
                <w:sz w:val="72"/>
                <w:szCs w:val="72"/>
              </w:rPr>
            </w:pPr>
            <w:bookmarkStart w:id="58" w:name="_Ref382555651"/>
            <w:r w:rsidRPr="00B27573">
              <w:rPr>
                <w:rFonts w:ascii="Calibri" w:hAnsi="Calibri" w:cs="Calibri"/>
                <w:i/>
                <w:color w:val="F2DBDB" w:themeColor="accent2" w:themeTint="33"/>
                <w:sz w:val="56"/>
                <w:szCs w:val="56"/>
              </w:rPr>
              <w:t>Carbon Monoxide &amp; Smoke Alarms</w:t>
            </w:r>
            <w:bookmarkEnd w:id="58"/>
            <w:r w:rsidRPr="00B27573">
              <w:rPr>
                <w:rFonts w:ascii="Calibri" w:hAnsi="Calibri" w:cs="Calibri"/>
                <w:i/>
                <w:color w:val="F2DBDB" w:themeColor="accent2" w:themeTint="33"/>
                <w:sz w:val="56"/>
                <w:szCs w:val="56"/>
              </w:rPr>
              <w:t xml:space="preserve"> </w:t>
            </w:r>
          </w:p>
        </w:tc>
        <w:tc>
          <w:tcPr>
            <w:tcW w:w="5977" w:type="dxa"/>
            <w:tcBorders>
              <w:top w:val="nil"/>
              <w:left w:val="thinThickSmallGap" w:sz="24" w:space="0" w:color="F2DBDB" w:themeColor="accent2" w:themeTint="33"/>
              <w:bottom w:val="nil"/>
              <w:right w:val="nil"/>
            </w:tcBorders>
            <w:shd w:val="clear" w:color="auto" w:fill="8064A2" w:themeFill="accent4"/>
            <w:vAlign w:val="center"/>
          </w:tcPr>
          <w:p w:rsidR="00B27573" w:rsidRPr="00DC2342" w:rsidRDefault="00B27573" w:rsidP="00B27573">
            <w:pPr>
              <w:pStyle w:val="Heading2"/>
              <w:spacing w:before="0" w:after="60"/>
              <w:outlineLvl w:val="1"/>
              <w:rPr>
                <w:rFonts w:asciiTheme="minorHAnsi" w:hAnsiTheme="minorHAnsi" w:cstheme="minorHAnsi"/>
                <w:i/>
                <w:color w:val="FFFFFF" w:themeColor="background1"/>
                <w:sz w:val="28"/>
                <w:szCs w:val="28"/>
              </w:rPr>
            </w:pPr>
            <w:r>
              <w:rPr>
                <w:rFonts w:asciiTheme="minorHAnsi" w:hAnsiTheme="minorHAnsi" w:cstheme="minorHAnsi"/>
                <w:i/>
                <w:color w:val="FFFFFF" w:themeColor="background1"/>
                <w:sz w:val="28"/>
                <w:szCs w:val="28"/>
              </w:rPr>
              <w:t xml:space="preserve">  </w:t>
            </w:r>
          </w:p>
        </w:tc>
      </w:tr>
      <w:tr w:rsidR="00B27573" w:rsidRPr="00DC2342" w:rsidTr="003F36AB">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8064A2" w:themeFill="accent4"/>
          </w:tcPr>
          <w:p w:rsidR="00B27573" w:rsidRPr="006F13A2" w:rsidRDefault="00B27573"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8064A2" w:themeFill="accent4"/>
            <w:vAlign w:val="center"/>
          </w:tcPr>
          <w:p w:rsidR="00B27573" w:rsidRPr="00B27573" w:rsidRDefault="00B27573" w:rsidP="004E390C">
            <w:pPr>
              <w:pStyle w:val="Heading2"/>
              <w:spacing w:before="0" w:after="60"/>
              <w:jc w:val="left"/>
              <w:outlineLvl w:val="1"/>
              <w:rPr>
                <w:rFonts w:asciiTheme="minorHAnsi" w:hAnsiTheme="minorHAnsi" w:cstheme="minorHAnsi"/>
                <w:i/>
                <w:color w:val="FFFFFF" w:themeColor="background1"/>
                <w:sz w:val="28"/>
                <w:szCs w:val="28"/>
              </w:rPr>
            </w:pPr>
            <w:r w:rsidRPr="00B27573">
              <w:rPr>
                <w:rFonts w:asciiTheme="minorHAnsi" w:hAnsiTheme="minorHAnsi" w:cstheme="minorHAnsi"/>
                <w:i/>
                <w:color w:val="FFFFFF" w:themeColor="background1"/>
                <w:sz w:val="28"/>
                <w:szCs w:val="28"/>
              </w:rPr>
              <w:t xml:space="preserve">Recognition of Carbon Monoxide </w:t>
            </w:r>
            <w:r w:rsidR="003F36AB">
              <w:rPr>
                <w:rFonts w:asciiTheme="minorHAnsi" w:hAnsiTheme="minorHAnsi" w:cstheme="minorHAnsi"/>
                <w:i/>
                <w:color w:val="FFFFFF" w:themeColor="background1"/>
                <w:sz w:val="28"/>
                <w:szCs w:val="28"/>
              </w:rPr>
              <w:t>p</w:t>
            </w:r>
            <w:r w:rsidRPr="00B27573">
              <w:rPr>
                <w:rFonts w:asciiTheme="minorHAnsi" w:hAnsiTheme="minorHAnsi" w:cstheme="minorHAnsi"/>
                <w:i/>
                <w:color w:val="FFFFFF" w:themeColor="background1"/>
                <w:sz w:val="28"/>
                <w:szCs w:val="28"/>
              </w:rPr>
              <w:t xml:space="preserve">oisoning </w:t>
            </w:r>
            <w:r w:rsidR="003F36AB">
              <w:rPr>
                <w:rFonts w:asciiTheme="minorHAnsi" w:hAnsiTheme="minorHAnsi" w:cstheme="minorHAnsi"/>
                <w:i/>
                <w:color w:val="FFFFFF" w:themeColor="background1"/>
                <w:sz w:val="28"/>
                <w:szCs w:val="28"/>
              </w:rPr>
              <w:t>s</w:t>
            </w:r>
            <w:r w:rsidRPr="00B27573">
              <w:rPr>
                <w:rFonts w:asciiTheme="minorHAnsi" w:hAnsiTheme="minorHAnsi" w:cstheme="minorHAnsi"/>
                <w:i/>
                <w:color w:val="FFFFFF" w:themeColor="background1"/>
                <w:sz w:val="28"/>
                <w:szCs w:val="28"/>
              </w:rPr>
              <w:t>ymptoms</w:t>
            </w:r>
          </w:p>
          <w:p w:rsidR="00B27573" w:rsidRPr="00DC2342" w:rsidRDefault="00B27573" w:rsidP="004E390C">
            <w:pPr>
              <w:pStyle w:val="Heading2"/>
              <w:spacing w:before="0" w:after="60"/>
              <w:jc w:val="left"/>
              <w:outlineLvl w:val="1"/>
              <w:rPr>
                <w:rFonts w:asciiTheme="minorHAnsi" w:hAnsiTheme="minorHAnsi" w:cstheme="minorHAnsi"/>
                <w:i/>
                <w:color w:val="FFFFFF" w:themeColor="background1"/>
                <w:sz w:val="28"/>
                <w:szCs w:val="28"/>
              </w:rPr>
            </w:pPr>
          </w:p>
        </w:tc>
      </w:tr>
      <w:tr w:rsidR="00B27573" w:rsidRPr="00DC2342" w:rsidTr="003F36AB">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8064A2" w:themeFill="accent4"/>
          </w:tcPr>
          <w:p w:rsidR="00B27573" w:rsidRPr="006F13A2" w:rsidRDefault="00B27573"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8064A2" w:themeFill="accent4"/>
            <w:vAlign w:val="center"/>
          </w:tcPr>
          <w:p w:rsidR="00B27573" w:rsidRDefault="00B27573" w:rsidP="004E390C">
            <w:pPr>
              <w:pStyle w:val="Heading2"/>
              <w:spacing w:before="0" w:after="60"/>
              <w:jc w:val="left"/>
              <w:outlineLvl w:val="1"/>
              <w:rPr>
                <w:rFonts w:asciiTheme="minorHAnsi" w:hAnsiTheme="minorHAnsi" w:cstheme="minorHAnsi"/>
                <w:b w:val="0"/>
                <w:sz w:val="22"/>
                <w:szCs w:val="22"/>
              </w:rPr>
            </w:pPr>
            <w:r w:rsidRPr="00B27573">
              <w:rPr>
                <w:rFonts w:asciiTheme="minorHAnsi" w:hAnsiTheme="minorHAnsi" w:cstheme="minorHAnsi"/>
                <w:i/>
                <w:color w:val="FFFFFF" w:themeColor="background1"/>
                <w:sz w:val="28"/>
                <w:szCs w:val="28"/>
              </w:rPr>
              <w:t xml:space="preserve">Methods of </w:t>
            </w:r>
            <w:r w:rsidR="003F36AB">
              <w:rPr>
                <w:rFonts w:asciiTheme="minorHAnsi" w:hAnsiTheme="minorHAnsi" w:cstheme="minorHAnsi"/>
                <w:i/>
                <w:color w:val="FFFFFF" w:themeColor="background1"/>
                <w:sz w:val="28"/>
                <w:szCs w:val="28"/>
              </w:rPr>
              <w:t>p</w:t>
            </w:r>
            <w:r w:rsidRPr="00B27573">
              <w:rPr>
                <w:rFonts w:asciiTheme="minorHAnsi" w:hAnsiTheme="minorHAnsi" w:cstheme="minorHAnsi"/>
                <w:i/>
                <w:color w:val="FFFFFF" w:themeColor="background1"/>
                <w:sz w:val="28"/>
                <w:szCs w:val="28"/>
              </w:rPr>
              <w:t xml:space="preserve">rotecting </w:t>
            </w:r>
            <w:r w:rsidR="003F36AB">
              <w:rPr>
                <w:rFonts w:asciiTheme="minorHAnsi" w:hAnsiTheme="minorHAnsi" w:cstheme="minorHAnsi"/>
                <w:i/>
                <w:color w:val="FFFFFF" w:themeColor="background1"/>
                <w:sz w:val="28"/>
                <w:szCs w:val="28"/>
              </w:rPr>
              <w:t>a</w:t>
            </w:r>
            <w:r w:rsidRPr="00B27573">
              <w:rPr>
                <w:rFonts w:asciiTheme="minorHAnsi" w:hAnsiTheme="minorHAnsi" w:cstheme="minorHAnsi"/>
                <w:i/>
                <w:color w:val="FFFFFF" w:themeColor="background1"/>
                <w:sz w:val="28"/>
                <w:szCs w:val="28"/>
              </w:rPr>
              <w:t xml:space="preserve">gainst Carbon Monoxide </w:t>
            </w:r>
            <w:r w:rsidR="003F36AB">
              <w:rPr>
                <w:rFonts w:asciiTheme="minorHAnsi" w:hAnsiTheme="minorHAnsi" w:cstheme="minorHAnsi"/>
                <w:i/>
                <w:color w:val="FFFFFF" w:themeColor="background1"/>
                <w:sz w:val="28"/>
                <w:szCs w:val="28"/>
              </w:rPr>
              <w:t>p</w:t>
            </w:r>
            <w:r w:rsidRPr="00B27573">
              <w:rPr>
                <w:rFonts w:asciiTheme="minorHAnsi" w:hAnsiTheme="minorHAnsi" w:cstheme="minorHAnsi"/>
                <w:i/>
                <w:color w:val="FFFFFF" w:themeColor="background1"/>
                <w:sz w:val="28"/>
                <w:szCs w:val="28"/>
              </w:rPr>
              <w:t>oisoning</w:t>
            </w:r>
            <w:r>
              <w:rPr>
                <w:rFonts w:asciiTheme="minorHAnsi" w:hAnsiTheme="minorHAnsi" w:cstheme="minorHAnsi"/>
                <w:b w:val="0"/>
                <w:sz w:val="22"/>
                <w:szCs w:val="22"/>
              </w:rPr>
              <w:t xml:space="preserve"> </w:t>
            </w:r>
          </w:p>
          <w:p w:rsidR="00B27573" w:rsidRPr="00DC2342" w:rsidRDefault="00B27573" w:rsidP="004E390C">
            <w:pPr>
              <w:pStyle w:val="Heading2"/>
              <w:spacing w:before="0" w:after="60"/>
              <w:jc w:val="left"/>
              <w:outlineLvl w:val="1"/>
              <w:rPr>
                <w:rFonts w:asciiTheme="minorHAnsi" w:hAnsiTheme="minorHAnsi" w:cstheme="minorHAnsi"/>
                <w:i/>
                <w:color w:val="FFFFFF" w:themeColor="background1"/>
                <w:sz w:val="28"/>
                <w:szCs w:val="28"/>
              </w:rPr>
            </w:pPr>
          </w:p>
        </w:tc>
      </w:tr>
      <w:tr w:rsidR="00B27573" w:rsidRPr="00DC2342" w:rsidTr="003F36AB">
        <w:trPr>
          <w:cantSplit/>
          <w:trHeight w:val="1928"/>
        </w:trPr>
        <w:tc>
          <w:tcPr>
            <w:tcW w:w="1184" w:type="dxa"/>
            <w:vMerge/>
            <w:tcBorders>
              <w:left w:val="single" w:sz="4" w:space="0" w:color="95B3D7" w:themeColor="accent1" w:themeTint="99"/>
              <w:right w:val="thinThickSmallGap" w:sz="24" w:space="0" w:color="F2DBDB" w:themeColor="accent2" w:themeTint="33"/>
            </w:tcBorders>
            <w:shd w:val="clear" w:color="auto" w:fill="8064A2" w:themeFill="accent4"/>
          </w:tcPr>
          <w:p w:rsidR="00B27573" w:rsidRPr="006F13A2" w:rsidRDefault="00B27573"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8064A2" w:themeFill="accent4"/>
            <w:vAlign w:val="center"/>
          </w:tcPr>
          <w:p w:rsidR="00B27573" w:rsidRPr="00DC2342" w:rsidRDefault="00B27573" w:rsidP="004E390C">
            <w:pPr>
              <w:pStyle w:val="Heading2"/>
              <w:spacing w:before="0" w:after="60"/>
              <w:jc w:val="left"/>
              <w:outlineLvl w:val="1"/>
              <w:rPr>
                <w:rFonts w:asciiTheme="minorHAnsi" w:hAnsiTheme="minorHAnsi" w:cstheme="minorHAnsi"/>
                <w:i/>
                <w:color w:val="FFFFFF" w:themeColor="background1"/>
                <w:sz w:val="28"/>
                <w:szCs w:val="28"/>
              </w:rPr>
            </w:pPr>
            <w:r w:rsidRPr="00B27573">
              <w:rPr>
                <w:rFonts w:asciiTheme="minorHAnsi" w:hAnsiTheme="minorHAnsi" w:cstheme="minorHAnsi"/>
                <w:i/>
                <w:color w:val="FFFFFF" w:themeColor="background1"/>
                <w:sz w:val="28"/>
                <w:szCs w:val="28"/>
              </w:rPr>
              <w:t>Carbon Monoxide</w:t>
            </w:r>
            <w:r>
              <w:rPr>
                <w:rFonts w:asciiTheme="minorHAnsi" w:hAnsiTheme="minorHAnsi" w:cstheme="minorHAnsi"/>
                <w:i/>
                <w:color w:val="FFFFFF" w:themeColor="background1"/>
                <w:sz w:val="28"/>
                <w:szCs w:val="28"/>
              </w:rPr>
              <w:t xml:space="preserve"> &amp; </w:t>
            </w:r>
            <w:r w:rsidR="003F36AB">
              <w:rPr>
                <w:rFonts w:asciiTheme="minorHAnsi" w:hAnsiTheme="minorHAnsi" w:cstheme="minorHAnsi"/>
                <w:i/>
                <w:color w:val="FFFFFF" w:themeColor="background1"/>
                <w:sz w:val="28"/>
                <w:szCs w:val="28"/>
              </w:rPr>
              <w:t>s</w:t>
            </w:r>
            <w:r>
              <w:rPr>
                <w:rFonts w:asciiTheme="minorHAnsi" w:hAnsiTheme="minorHAnsi" w:cstheme="minorHAnsi"/>
                <w:i/>
                <w:color w:val="FFFFFF" w:themeColor="background1"/>
                <w:sz w:val="28"/>
                <w:szCs w:val="28"/>
              </w:rPr>
              <w:t>moke alarms</w:t>
            </w:r>
          </w:p>
        </w:tc>
      </w:tr>
      <w:tr w:rsidR="00B27573" w:rsidRPr="00DC2342" w:rsidTr="003F36AB">
        <w:trPr>
          <w:cantSplit/>
          <w:trHeight w:val="1928"/>
        </w:trPr>
        <w:tc>
          <w:tcPr>
            <w:tcW w:w="1184" w:type="dxa"/>
            <w:vMerge/>
            <w:tcBorders>
              <w:left w:val="single" w:sz="4" w:space="0" w:color="95B3D7" w:themeColor="accent1" w:themeTint="99"/>
              <w:bottom w:val="single" w:sz="4" w:space="0" w:color="95B3D7" w:themeColor="accent1" w:themeTint="99"/>
              <w:right w:val="thinThickSmallGap" w:sz="24" w:space="0" w:color="F2DBDB" w:themeColor="accent2" w:themeTint="33"/>
            </w:tcBorders>
            <w:shd w:val="clear" w:color="auto" w:fill="8064A2" w:themeFill="accent4"/>
          </w:tcPr>
          <w:p w:rsidR="00B27573" w:rsidRPr="006F13A2" w:rsidRDefault="00B27573" w:rsidP="00B27573">
            <w:pPr>
              <w:pStyle w:val="Heading2"/>
              <w:spacing w:before="0" w:after="60"/>
              <w:outlineLvl w:val="1"/>
              <w:rPr>
                <w:rFonts w:asciiTheme="minorHAnsi" w:hAnsiTheme="minorHAnsi" w:cstheme="minorHAnsi"/>
                <w:outline/>
                <w:color w:val="FFFFFF" w:themeColor="background1"/>
                <w:sz w:val="24"/>
                <w:szCs w:val="24"/>
                <w14:textOutline w14:w="9525" w14:cap="flat" w14:cmpd="sng" w14:algn="ctr">
                  <w14:solidFill>
                    <w14:schemeClr w14:val="bg1"/>
                  </w14:solidFill>
                  <w14:prstDash w14:val="solid"/>
                  <w14:round/>
                </w14:textOutline>
                <w14:textFill>
                  <w14:noFill/>
                </w14:textFill>
              </w:rPr>
            </w:pPr>
          </w:p>
        </w:tc>
        <w:tc>
          <w:tcPr>
            <w:tcW w:w="5977" w:type="dxa"/>
            <w:tcBorders>
              <w:top w:val="nil"/>
              <w:left w:val="thinThickSmallGap" w:sz="24" w:space="0" w:color="F2DBDB" w:themeColor="accent2" w:themeTint="33"/>
              <w:bottom w:val="nil"/>
              <w:right w:val="nil"/>
            </w:tcBorders>
            <w:shd w:val="clear" w:color="auto" w:fill="8064A2" w:themeFill="accent4"/>
            <w:vAlign w:val="center"/>
          </w:tcPr>
          <w:p w:rsidR="00B27573" w:rsidRPr="00DC2342" w:rsidRDefault="00B27573" w:rsidP="00B27573">
            <w:pPr>
              <w:pStyle w:val="Heading2"/>
              <w:spacing w:before="0" w:after="60"/>
              <w:outlineLvl w:val="1"/>
              <w:rPr>
                <w:rFonts w:asciiTheme="minorHAnsi" w:hAnsiTheme="minorHAnsi" w:cstheme="minorHAnsi"/>
                <w:i/>
                <w:color w:val="FFFFFF" w:themeColor="background1"/>
                <w:sz w:val="28"/>
                <w:szCs w:val="28"/>
              </w:rPr>
            </w:pPr>
          </w:p>
        </w:tc>
      </w:tr>
    </w:tbl>
    <w:p w:rsidR="00B27573" w:rsidRDefault="00B27573" w:rsidP="00B27573">
      <w:pPr>
        <w:jc w:val="left"/>
        <w:rPr>
          <w:rFonts w:asciiTheme="minorHAnsi" w:hAnsiTheme="minorHAnsi" w:cstheme="minorHAnsi"/>
          <w:i/>
          <w:sz w:val="22"/>
          <w:szCs w:val="22"/>
        </w:rPr>
      </w:pPr>
    </w:p>
    <w:p w:rsidR="00B27573" w:rsidRDefault="00B27573" w:rsidP="00B27573">
      <w:pPr>
        <w:jc w:val="left"/>
        <w:rPr>
          <w:rFonts w:asciiTheme="minorHAnsi" w:hAnsiTheme="minorHAnsi" w:cstheme="minorHAnsi"/>
          <w:i/>
          <w:sz w:val="22"/>
          <w:szCs w:val="22"/>
        </w:rPr>
      </w:pPr>
    </w:p>
    <w:p w:rsidR="00B27573" w:rsidRPr="003F36AB" w:rsidRDefault="00B27573" w:rsidP="00B27573">
      <w:pPr>
        <w:jc w:val="left"/>
        <w:rPr>
          <w:rFonts w:asciiTheme="minorHAnsi" w:hAnsiTheme="minorHAnsi" w:cstheme="minorHAnsi"/>
          <w:i/>
          <w:sz w:val="22"/>
          <w:szCs w:val="22"/>
        </w:rPr>
      </w:pPr>
    </w:p>
    <w:p w:rsidR="00B27573" w:rsidRPr="003F36AB" w:rsidRDefault="00B27573" w:rsidP="00B27573">
      <w:pPr>
        <w:jc w:val="left"/>
        <w:rPr>
          <w:rFonts w:asciiTheme="minorHAnsi" w:hAnsiTheme="minorHAnsi" w:cstheme="minorHAnsi"/>
          <w:i/>
          <w:sz w:val="22"/>
          <w:szCs w:val="22"/>
        </w:rPr>
      </w:pPr>
    </w:p>
    <w:tbl>
      <w:tblPr>
        <w:tblStyle w:val="TableGrid"/>
        <w:tblW w:w="7260" w:type="dxa"/>
        <w:tblLook w:val="04A0" w:firstRow="1" w:lastRow="0" w:firstColumn="1" w:lastColumn="0" w:noHBand="0" w:noVBand="1"/>
      </w:tblPr>
      <w:tblGrid>
        <w:gridCol w:w="1432"/>
        <w:gridCol w:w="1432"/>
        <w:gridCol w:w="1432"/>
        <w:gridCol w:w="1432"/>
        <w:gridCol w:w="99"/>
        <w:gridCol w:w="1334"/>
        <w:gridCol w:w="99"/>
      </w:tblGrid>
      <w:tr w:rsidR="00B27573" w:rsidRPr="003F36AB" w:rsidTr="003F36AB">
        <w:trPr>
          <w:gridAfter w:val="1"/>
          <w:wAfter w:w="99" w:type="dxa"/>
          <w:trHeight w:val="1361"/>
        </w:trPr>
        <w:tc>
          <w:tcPr>
            <w:tcW w:w="2864" w:type="dxa"/>
            <w:gridSpan w:val="2"/>
            <w:tcBorders>
              <w:top w:val="nil"/>
              <w:left w:val="nil"/>
              <w:bottom w:val="nil"/>
              <w:right w:val="nil"/>
            </w:tcBorders>
            <w:shd w:val="clear" w:color="auto" w:fill="CCC0D9" w:themeFill="accent4" w:themeFillTint="66"/>
            <w:vAlign w:val="center"/>
          </w:tcPr>
          <w:p w:rsidR="00B27573" w:rsidRPr="00A96E35" w:rsidRDefault="003F36AB" w:rsidP="00B27573">
            <w:pPr>
              <w:jc w:val="left"/>
              <w:rPr>
                <w:rFonts w:asciiTheme="minorHAnsi" w:hAnsiTheme="minorHAnsi" w:cstheme="minorHAnsi"/>
                <w:b/>
                <w:i/>
                <w:color w:val="5F497A" w:themeColor="accent4" w:themeShade="BF"/>
                <w:sz w:val="24"/>
                <w:szCs w:val="24"/>
              </w:rPr>
            </w:pPr>
            <w:r w:rsidRPr="00A96E35">
              <w:rPr>
                <w:rFonts w:asciiTheme="minorHAnsi" w:hAnsiTheme="minorHAnsi" w:cstheme="minorHAnsi"/>
                <w:i/>
                <w:color w:val="5F497A" w:themeColor="accent4" w:themeShade="BF"/>
                <w:sz w:val="24"/>
                <w:szCs w:val="24"/>
              </w:rPr>
              <w:t>One-third of households had a carbon monoxide alarm installed in their home</w:t>
            </w: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2865" w:type="dxa"/>
            <w:gridSpan w:val="3"/>
            <w:vMerge w:val="restart"/>
            <w:tcBorders>
              <w:top w:val="nil"/>
              <w:left w:val="nil"/>
              <w:bottom w:val="nil"/>
              <w:right w:val="nil"/>
            </w:tcBorders>
            <w:shd w:val="clear" w:color="auto" w:fill="403152" w:themeFill="accent4" w:themeFillShade="80"/>
            <w:vAlign w:val="center"/>
          </w:tcPr>
          <w:p w:rsidR="00B27573" w:rsidRPr="003F36AB" w:rsidRDefault="003F36AB" w:rsidP="003F36AB">
            <w:pPr>
              <w:jc w:val="left"/>
              <w:rPr>
                <w:rFonts w:asciiTheme="minorHAnsi" w:hAnsiTheme="minorHAnsi" w:cstheme="minorHAnsi"/>
                <w:b/>
                <w:i/>
                <w:color w:val="FFFFFF" w:themeColor="background1"/>
                <w:sz w:val="32"/>
                <w:szCs w:val="32"/>
              </w:rPr>
            </w:pPr>
            <w:r w:rsidRPr="003F36AB">
              <w:rPr>
                <w:rFonts w:asciiTheme="minorHAnsi" w:hAnsiTheme="minorHAnsi" w:cstheme="minorHAnsi"/>
                <w:i/>
                <w:sz w:val="32"/>
                <w:szCs w:val="32"/>
              </w:rPr>
              <w:t xml:space="preserve">14% of respondents could not identify any symptoms of carbon monoxide poisoning at all </w:t>
            </w:r>
          </w:p>
        </w:tc>
      </w:tr>
      <w:tr w:rsidR="00B27573" w:rsidRPr="003F36AB" w:rsidTr="003F36AB">
        <w:trPr>
          <w:gridAfter w:val="1"/>
          <w:wAfter w:w="99" w:type="dxa"/>
          <w:trHeight w:val="1020"/>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2865" w:type="dxa"/>
            <w:gridSpan w:val="3"/>
            <w:vMerge/>
            <w:tcBorders>
              <w:top w:val="nil"/>
              <w:left w:val="nil"/>
              <w:bottom w:val="nil"/>
              <w:right w:val="nil"/>
            </w:tcBorders>
            <w:shd w:val="clear" w:color="auto" w:fill="403152" w:themeFill="accent4" w:themeFillShade="80"/>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B27573">
        <w:trPr>
          <w:gridAfter w:val="1"/>
          <w:wAfter w:w="99" w:type="dxa"/>
          <w:trHeight w:val="340"/>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FFFFFF" w:themeFill="background1"/>
            <w:vAlign w:val="center"/>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3F36AB">
        <w:trPr>
          <w:gridAfter w:val="1"/>
          <w:wAfter w:w="99" w:type="dxa"/>
          <w:trHeight w:val="1587"/>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4296" w:type="dxa"/>
            <w:gridSpan w:val="3"/>
            <w:tcBorders>
              <w:top w:val="nil"/>
              <w:left w:val="nil"/>
              <w:bottom w:val="nil"/>
              <w:right w:val="nil"/>
            </w:tcBorders>
            <w:shd w:val="clear" w:color="auto" w:fill="B2A1C7" w:themeFill="accent4" w:themeFillTint="99"/>
            <w:vAlign w:val="center"/>
          </w:tcPr>
          <w:p w:rsidR="00B27573" w:rsidRPr="00A96E35" w:rsidRDefault="003F36AB" w:rsidP="003F36AB">
            <w:pPr>
              <w:jc w:val="left"/>
              <w:rPr>
                <w:rFonts w:asciiTheme="minorHAnsi" w:hAnsiTheme="minorHAnsi" w:cstheme="minorHAnsi"/>
                <w:b/>
                <w:i/>
                <w:color w:val="FFFFFF" w:themeColor="background1"/>
                <w:sz w:val="28"/>
                <w:szCs w:val="28"/>
              </w:rPr>
            </w:pPr>
            <w:r w:rsidRPr="00A96E35">
              <w:rPr>
                <w:rFonts w:asciiTheme="minorHAnsi" w:hAnsiTheme="minorHAnsi" w:cstheme="minorHAnsi"/>
                <w:b/>
                <w:i/>
                <w:color w:val="FFFFFF" w:themeColor="background1"/>
                <w:sz w:val="28"/>
                <w:szCs w:val="28"/>
              </w:rPr>
              <w:t>36% of respondents could identify three or more symptoms of carbon monoxide poisoning</w:t>
            </w:r>
          </w:p>
        </w:tc>
        <w:tc>
          <w:tcPr>
            <w:tcW w:w="1433" w:type="dxa"/>
            <w:gridSpan w:val="2"/>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B27573">
        <w:trPr>
          <w:gridAfter w:val="1"/>
          <w:wAfter w:w="99" w:type="dxa"/>
          <w:trHeight w:val="510"/>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3F36AB">
        <w:trPr>
          <w:trHeight w:val="1361"/>
        </w:trPr>
        <w:tc>
          <w:tcPr>
            <w:tcW w:w="2864" w:type="dxa"/>
            <w:gridSpan w:val="2"/>
            <w:vMerge w:val="restart"/>
            <w:tcBorders>
              <w:top w:val="nil"/>
              <w:left w:val="nil"/>
              <w:bottom w:val="nil"/>
              <w:right w:val="nil"/>
            </w:tcBorders>
            <w:shd w:val="clear" w:color="auto" w:fill="E5DFEC" w:themeFill="accent4" w:themeFillTint="33"/>
            <w:vAlign w:val="center"/>
          </w:tcPr>
          <w:p w:rsidR="00B27573" w:rsidRPr="00A96E35" w:rsidRDefault="003F36AB" w:rsidP="003F36AB">
            <w:pPr>
              <w:jc w:val="left"/>
              <w:rPr>
                <w:rFonts w:asciiTheme="minorHAnsi" w:hAnsiTheme="minorHAnsi" w:cstheme="minorHAnsi"/>
                <w:i/>
                <w:color w:val="5F497A" w:themeColor="accent4" w:themeShade="BF"/>
                <w:sz w:val="28"/>
                <w:szCs w:val="28"/>
              </w:rPr>
            </w:pPr>
            <w:r w:rsidRPr="00A96E35">
              <w:rPr>
                <w:rFonts w:asciiTheme="minorHAnsi" w:hAnsiTheme="minorHAnsi" w:cstheme="minorHAnsi"/>
                <w:i/>
                <w:color w:val="5F497A" w:themeColor="accent4" w:themeShade="BF"/>
                <w:sz w:val="28"/>
                <w:szCs w:val="28"/>
              </w:rPr>
              <w:t>50% of those with a smoke alarm installed tested it at least monthly</w:t>
            </w: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531" w:type="dxa"/>
            <w:gridSpan w:val="2"/>
            <w:tcBorders>
              <w:top w:val="nil"/>
              <w:left w:val="nil"/>
              <w:bottom w:val="nil"/>
              <w:right w:val="nil"/>
            </w:tcBorders>
            <w:shd w:val="clear" w:color="auto" w:fill="5F497A" w:themeFill="accent4" w:themeFillShade="BF"/>
            <w:vAlign w:val="center"/>
          </w:tcPr>
          <w:p w:rsidR="00B27573" w:rsidRPr="00A96E35" w:rsidRDefault="003F36AB" w:rsidP="003F36AB">
            <w:pPr>
              <w:jc w:val="left"/>
              <w:rPr>
                <w:rFonts w:asciiTheme="minorHAnsi" w:hAnsiTheme="minorHAnsi" w:cstheme="minorHAnsi"/>
                <w:b/>
                <w:i/>
                <w:color w:val="FFFFFF" w:themeColor="background1"/>
              </w:rPr>
            </w:pPr>
            <w:r w:rsidRPr="00A96E35">
              <w:rPr>
                <w:rFonts w:asciiTheme="minorHAnsi" w:hAnsiTheme="minorHAnsi" w:cstheme="minorHAnsi"/>
                <w:i/>
                <w:color w:val="FFFFFF" w:themeColor="background1"/>
              </w:rPr>
              <w:t>97% of all households had a smoke alarm installed</w:t>
            </w:r>
          </w:p>
        </w:tc>
        <w:tc>
          <w:tcPr>
            <w:tcW w:w="1433" w:type="dxa"/>
            <w:gridSpan w:val="2"/>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3F36AB">
        <w:trPr>
          <w:gridAfter w:val="1"/>
          <w:wAfter w:w="99" w:type="dxa"/>
          <w:trHeight w:val="567"/>
        </w:trPr>
        <w:tc>
          <w:tcPr>
            <w:tcW w:w="2864" w:type="dxa"/>
            <w:gridSpan w:val="2"/>
            <w:vMerge/>
            <w:tcBorders>
              <w:top w:val="nil"/>
              <w:left w:val="nil"/>
              <w:bottom w:val="nil"/>
              <w:right w:val="nil"/>
            </w:tcBorders>
            <w:shd w:val="clear" w:color="auto" w:fill="E5DFEC" w:themeFill="accent4" w:themeFillTint="33"/>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3" w:type="dxa"/>
            <w:gridSpan w:val="2"/>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B27573">
        <w:trPr>
          <w:gridAfter w:val="1"/>
          <w:wAfter w:w="99" w:type="dxa"/>
          <w:trHeight w:val="283"/>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r>
      <w:tr w:rsidR="00B27573" w:rsidRPr="003F36AB" w:rsidTr="003F36AB">
        <w:trPr>
          <w:gridAfter w:val="1"/>
          <w:wAfter w:w="99" w:type="dxa"/>
          <w:trHeight w:val="1701"/>
        </w:trPr>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1432" w:type="dxa"/>
            <w:tcBorders>
              <w:top w:val="nil"/>
              <w:left w:val="nil"/>
              <w:bottom w:val="nil"/>
              <w:right w:val="nil"/>
            </w:tcBorders>
            <w:shd w:val="clear" w:color="auto" w:fill="FFFFFF" w:themeFill="background1"/>
          </w:tcPr>
          <w:p w:rsidR="00B27573" w:rsidRPr="003F36AB" w:rsidRDefault="00B27573" w:rsidP="00B27573">
            <w:pPr>
              <w:jc w:val="left"/>
              <w:rPr>
                <w:rFonts w:asciiTheme="minorHAnsi" w:hAnsiTheme="minorHAnsi" w:cstheme="minorHAnsi"/>
                <w:b/>
                <w:i/>
                <w:color w:val="FFFFFF" w:themeColor="background1"/>
                <w:sz w:val="22"/>
                <w:szCs w:val="22"/>
              </w:rPr>
            </w:pPr>
          </w:p>
        </w:tc>
        <w:tc>
          <w:tcPr>
            <w:tcW w:w="4297" w:type="dxa"/>
            <w:gridSpan w:val="4"/>
            <w:tcBorders>
              <w:top w:val="nil"/>
              <w:left w:val="nil"/>
              <w:bottom w:val="nil"/>
              <w:right w:val="nil"/>
            </w:tcBorders>
            <w:shd w:val="clear" w:color="auto" w:fill="8064A2" w:themeFill="accent4"/>
            <w:vAlign w:val="center"/>
          </w:tcPr>
          <w:p w:rsidR="00B27573" w:rsidRPr="00A96E35" w:rsidRDefault="003F36AB" w:rsidP="003F36AB">
            <w:pPr>
              <w:jc w:val="left"/>
              <w:rPr>
                <w:rFonts w:asciiTheme="minorHAnsi" w:hAnsiTheme="minorHAnsi" w:cstheme="minorHAnsi"/>
                <w:b/>
                <w:i/>
                <w:color w:val="FFFFFF" w:themeColor="background1"/>
                <w:sz w:val="28"/>
                <w:szCs w:val="28"/>
              </w:rPr>
            </w:pPr>
            <w:r w:rsidRPr="00A96E35">
              <w:rPr>
                <w:rFonts w:asciiTheme="minorHAnsi" w:hAnsiTheme="minorHAnsi" w:cstheme="minorHAnsi"/>
                <w:i/>
                <w:color w:val="FFFFFF" w:themeColor="background1"/>
                <w:sz w:val="28"/>
                <w:szCs w:val="28"/>
              </w:rPr>
              <w:t xml:space="preserve">42% identified drowsiness as a symptom of carbon monoxide poisoning </w:t>
            </w:r>
          </w:p>
        </w:tc>
      </w:tr>
    </w:tbl>
    <w:p w:rsidR="00B27573" w:rsidRPr="003F36AB" w:rsidRDefault="00B27573" w:rsidP="00B27573">
      <w:pPr>
        <w:pStyle w:val="Heading2"/>
        <w:spacing w:before="0" w:after="60"/>
        <w:rPr>
          <w:rFonts w:asciiTheme="minorHAnsi" w:hAnsiTheme="minorHAnsi" w:cstheme="minorHAnsi"/>
          <w:i/>
          <w:sz w:val="24"/>
          <w:szCs w:val="24"/>
        </w:rPr>
        <w:sectPr w:rsidR="00B27573" w:rsidRPr="003F36AB" w:rsidSect="007033B0">
          <w:pgSz w:w="16838" w:h="11906" w:orient="landscape"/>
          <w:pgMar w:top="737" w:right="1247" w:bottom="737" w:left="1247" w:header="454" w:footer="567" w:gutter="0"/>
          <w:cols w:num="2" w:space="454"/>
          <w:docGrid w:linePitch="360"/>
        </w:sectPr>
      </w:pPr>
    </w:p>
    <w:p w:rsidR="00F80DC1" w:rsidRPr="00A96E35" w:rsidRDefault="00F80DC1" w:rsidP="00FE6715">
      <w:pPr>
        <w:pStyle w:val="Heading2"/>
        <w:spacing w:before="0" w:after="120"/>
        <w:rPr>
          <w:rFonts w:asciiTheme="minorHAnsi" w:hAnsiTheme="minorHAnsi" w:cstheme="minorHAnsi"/>
          <w:color w:val="8064A2" w:themeColor="accent4"/>
          <w:sz w:val="24"/>
          <w:szCs w:val="24"/>
        </w:rPr>
      </w:pPr>
      <w:r w:rsidRPr="00A96E35">
        <w:rPr>
          <w:rFonts w:asciiTheme="minorHAnsi" w:hAnsiTheme="minorHAnsi" w:cstheme="minorHAnsi"/>
          <w:color w:val="8064A2" w:themeColor="accent4"/>
          <w:sz w:val="24"/>
          <w:szCs w:val="24"/>
        </w:rPr>
        <w:t>Carbon Monoxide</w:t>
      </w:r>
      <w:r w:rsidR="001B1E60" w:rsidRPr="00A96E35">
        <w:rPr>
          <w:rFonts w:asciiTheme="minorHAnsi" w:hAnsiTheme="minorHAnsi" w:cstheme="minorHAnsi"/>
          <w:color w:val="8064A2" w:themeColor="accent4"/>
          <w:sz w:val="24"/>
          <w:szCs w:val="24"/>
        </w:rPr>
        <w:t xml:space="preserve"> &amp; Smoke Alarms</w:t>
      </w:r>
      <w:bookmarkEnd w:id="57"/>
    </w:p>
    <w:p w:rsidR="00871720" w:rsidRPr="00A96E35" w:rsidRDefault="00871720" w:rsidP="00FE6715">
      <w:pPr>
        <w:tabs>
          <w:tab w:val="left" w:pos="-180"/>
        </w:tabs>
        <w:suppressAutoHyphens/>
        <w:spacing w:after="120"/>
        <w:rPr>
          <w:rFonts w:asciiTheme="minorHAnsi" w:hAnsiTheme="minorHAnsi" w:cstheme="minorHAnsi"/>
          <w:b/>
          <w:color w:val="8064A2" w:themeColor="accent4"/>
          <w:sz w:val="24"/>
          <w:szCs w:val="24"/>
        </w:rPr>
      </w:pPr>
      <w:r w:rsidRPr="00A96E35">
        <w:rPr>
          <w:rFonts w:asciiTheme="minorHAnsi" w:hAnsiTheme="minorHAnsi" w:cstheme="minorHAnsi"/>
          <w:b/>
          <w:color w:val="8064A2" w:themeColor="accent4"/>
          <w:sz w:val="22"/>
          <w:szCs w:val="22"/>
        </w:rPr>
        <w:t>Background</w:t>
      </w:r>
    </w:p>
    <w:p w:rsidR="006802FF" w:rsidRPr="00EB0AC3" w:rsidRDefault="006802FF"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 xml:space="preserve">DHSSPS is responsible for establishing arrangements for the effective management of the Northern Ireland Fire and Rescue Services (NIFRS) in order to reduce the number of accidental deaths in the home.  The NIFRS promote the use of workable smoke alarms within homes.  DHSSPS are currently devising a new 10-Year Accident Prevention Strategy which includes reducing the number of accidental deaths in the home due to carbon monoxide poisoning.  In light of this, a number of questions were asked about knowledge of carbon monoxide poisoning symptoms as well as questions about carbon monoxide </w:t>
      </w:r>
      <w:r w:rsidR="00DF7656" w:rsidRPr="00EB0AC3">
        <w:rPr>
          <w:rFonts w:asciiTheme="minorHAnsi" w:hAnsiTheme="minorHAnsi" w:cstheme="minorHAnsi"/>
          <w:sz w:val="22"/>
          <w:szCs w:val="22"/>
        </w:rPr>
        <w:t>and</w:t>
      </w:r>
      <w:r w:rsidRPr="00EB0AC3">
        <w:rPr>
          <w:rFonts w:asciiTheme="minorHAnsi" w:hAnsiTheme="minorHAnsi" w:cstheme="minorHAnsi"/>
          <w:sz w:val="22"/>
          <w:szCs w:val="22"/>
        </w:rPr>
        <w:t xml:space="preserve"> smoke alarms.</w:t>
      </w:r>
    </w:p>
    <w:p w:rsidR="00F80DC1" w:rsidRPr="00A96E35" w:rsidRDefault="00F80DC1" w:rsidP="00FE6715">
      <w:pPr>
        <w:tabs>
          <w:tab w:val="left" w:pos="-180"/>
        </w:tabs>
        <w:suppressAutoHyphens/>
        <w:spacing w:before="240" w:after="120"/>
        <w:rPr>
          <w:rFonts w:asciiTheme="minorHAnsi" w:hAnsiTheme="minorHAnsi" w:cstheme="minorHAnsi"/>
          <w:b/>
          <w:color w:val="8064A2" w:themeColor="accent4"/>
          <w:sz w:val="22"/>
          <w:szCs w:val="22"/>
        </w:rPr>
      </w:pPr>
      <w:r w:rsidRPr="00A96E35">
        <w:rPr>
          <w:rFonts w:asciiTheme="minorHAnsi" w:hAnsiTheme="minorHAnsi" w:cstheme="minorHAnsi"/>
          <w:b/>
          <w:color w:val="8064A2" w:themeColor="accent4"/>
          <w:sz w:val="22"/>
          <w:szCs w:val="22"/>
        </w:rPr>
        <w:t xml:space="preserve">Recognition of </w:t>
      </w:r>
      <w:bookmarkStart w:id="59" w:name="OLE_LINK26"/>
      <w:r w:rsidRPr="00A96E35">
        <w:rPr>
          <w:rFonts w:asciiTheme="minorHAnsi" w:hAnsiTheme="minorHAnsi" w:cstheme="minorHAnsi"/>
          <w:b/>
          <w:color w:val="8064A2" w:themeColor="accent4"/>
          <w:sz w:val="22"/>
          <w:szCs w:val="22"/>
        </w:rPr>
        <w:t>Carbon Monoxide Poisoning Symptoms</w:t>
      </w:r>
    </w:p>
    <w:p w:rsidR="00F80DC1" w:rsidRPr="00EB0AC3" w:rsidRDefault="00F80DC1"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 xml:space="preserve">Respondents were </w:t>
      </w:r>
      <w:bookmarkEnd w:id="59"/>
      <w:r w:rsidRPr="00EB0AC3">
        <w:rPr>
          <w:rFonts w:asciiTheme="minorHAnsi" w:hAnsiTheme="minorHAnsi" w:cstheme="minorHAnsi"/>
          <w:sz w:val="22"/>
          <w:szCs w:val="22"/>
        </w:rPr>
        <w:t>asked to identify any symptoms of carbon monoxide poisoning they could.  Two-fifths identified drowsiness</w:t>
      </w:r>
      <w:r w:rsidR="00F756CD" w:rsidRPr="00EB0AC3">
        <w:rPr>
          <w:rFonts w:asciiTheme="minorHAnsi" w:hAnsiTheme="minorHAnsi" w:cstheme="minorHAnsi"/>
          <w:sz w:val="22"/>
          <w:szCs w:val="22"/>
        </w:rPr>
        <w:t xml:space="preserve"> (42%)</w:t>
      </w:r>
      <w:r w:rsidRPr="00EB0AC3">
        <w:rPr>
          <w:rFonts w:asciiTheme="minorHAnsi" w:hAnsiTheme="minorHAnsi" w:cstheme="minorHAnsi"/>
          <w:sz w:val="22"/>
          <w:szCs w:val="22"/>
        </w:rPr>
        <w:t xml:space="preserve">, while a third identified each of tiredness/fatigue (33%), </w:t>
      </w:r>
      <w:r w:rsidR="00F756CD" w:rsidRPr="00EB0AC3">
        <w:rPr>
          <w:rFonts w:asciiTheme="minorHAnsi" w:hAnsiTheme="minorHAnsi" w:cstheme="minorHAnsi"/>
          <w:sz w:val="22"/>
          <w:szCs w:val="22"/>
        </w:rPr>
        <w:t>headaches (32%) and nausea (31%).</w:t>
      </w:r>
    </w:p>
    <w:p w:rsidR="00F756CD" w:rsidRPr="00EB0AC3" w:rsidRDefault="00D94AA6"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O</w:t>
      </w:r>
      <w:r w:rsidR="00DB0C98" w:rsidRPr="00EB0AC3">
        <w:rPr>
          <w:rFonts w:asciiTheme="minorHAnsi" w:hAnsiTheme="minorHAnsi" w:cstheme="minorHAnsi"/>
          <w:sz w:val="22"/>
          <w:szCs w:val="22"/>
        </w:rPr>
        <w:t>ver one-</w:t>
      </w:r>
      <w:r w:rsidRPr="00EB0AC3">
        <w:rPr>
          <w:rFonts w:asciiTheme="minorHAnsi" w:hAnsiTheme="minorHAnsi" w:cstheme="minorHAnsi"/>
          <w:sz w:val="22"/>
          <w:szCs w:val="22"/>
        </w:rPr>
        <w:t xml:space="preserve">third of respondents could identify three or more symptoms of carbon monoxide poisoning </w:t>
      </w:r>
      <w:r w:rsidR="00DB0C98" w:rsidRPr="00EB0AC3">
        <w:rPr>
          <w:rFonts w:asciiTheme="minorHAnsi" w:hAnsiTheme="minorHAnsi" w:cstheme="minorHAnsi"/>
          <w:sz w:val="22"/>
          <w:szCs w:val="22"/>
        </w:rPr>
        <w:t xml:space="preserve">(36%) </w:t>
      </w:r>
      <w:r w:rsidRPr="00EB0AC3">
        <w:rPr>
          <w:rFonts w:asciiTheme="minorHAnsi" w:hAnsiTheme="minorHAnsi" w:cstheme="minorHAnsi"/>
          <w:sz w:val="22"/>
          <w:szCs w:val="22"/>
        </w:rPr>
        <w:t xml:space="preserve">while one-quarter could identify two symptoms (25%) </w:t>
      </w:r>
      <w:r w:rsidR="00DB0C98" w:rsidRPr="00EB0AC3">
        <w:rPr>
          <w:rFonts w:asciiTheme="minorHAnsi" w:hAnsiTheme="minorHAnsi" w:cstheme="minorHAnsi"/>
          <w:sz w:val="22"/>
          <w:szCs w:val="22"/>
        </w:rPr>
        <w:t>and</w:t>
      </w:r>
      <w:r w:rsidRPr="00EB0AC3">
        <w:rPr>
          <w:rFonts w:asciiTheme="minorHAnsi" w:hAnsiTheme="minorHAnsi" w:cstheme="minorHAnsi"/>
          <w:sz w:val="22"/>
          <w:szCs w:val="22"/>
        </w:rPr>
        <w:t xml:space="preserve"> a further one-quarter </w:t>
      </w:r>
      <w:r w:rsidR="00DB0C98" w:rsidRPr="00EB0AC3">
        <w:rPr>
          <w:rFonts w:asciiTheme="minorHAnsi" w:hAnsiTheme="minorHAnsi" w:cstheme="minorHAnsi"/>
          <w:sz w:val="22"/>
          <w:szCs w:val="22"/>
        </w:rPr>
        <w:t>identified</w:t>
      </w:r>
      <w:r w:rsidRPr="00EB0AC3">
        <w:rPr>
          <w:rFonts w:asciiTheme="minorHAnsi" w:hAnsiTheme="minorHAnsi" w:cstheme="minorHAnsi"/>
          <w:sz w:val="22"/>
          <w:szCs w:val="22"/>
        </w:rPr>
        <w:t xml:space="preserve"> one symptom (25%)</w:t>
      </w:r>
      <w:r w:rsidR="00DB0C98" w:rsidRPr="00EB0AC3">
        <w:rPr>
          <w:rFonts w:asciiTheme="minorHAnsi" w:hAnsiTheme="minorHAnsi" w:cstheme="minorHAnsi"/>
          <w:sz w:val="22"/>
          <w:szCs w:val="22"/>
        </w:rPr>
        <w:t xml:space="preserve">. </w:t>
      </w:r>
      <w:r w:rsidRPr="00EB0AC3">
        <w:rPr>
          <w:rFonts w:asciiTheme="minorHAnsi" w:hAnsiTheme="minorHAnsi" w:cstheme="minorHAnsi"/>
          <w:sz w:val="22"/>
          <w:szCs w:val="22"/>
        </w:rPr>
        <w:t xml:space="preserve">  </w:t>
      </w:r>
      <w:r w:rsidR="00F756CD" w:rsidRPr="00EB0AC3">
        <w:rPr>
          <w:rFonts w:asciiTheme="minorHAnsi" w:hAnsiTheme="minorHAnsi" w:cstheme="minorHAnsi"/>
          <w:sz w:val="22"/>
          <w:szCs w:val="22"/>
        </w:rPr>
        <w:t>Over one tenth of respondents could not iden</w:t>
      </w:r>
      <w:r w:rsidR="00DB0C98" w:rsidRPr="00EB0AC3">
        <w:rPr>
          <w:rFonts w:asciiTheme="minorHAnsi" w:hAnsiTheme="minorHAnsi" w:cstheme="minorHAnsi"/>
          <w:sz w:val="22"/>
          <w:szCs w:val="22"/>
        </w:rPr>
        <w:t xml:space="preserve">tify any symptoms at all (14%). </w:t>
      </w:r>
    </w:p>
    <w:p w:rsidR="00F756CD" w:rsidRPr="00A96E35" w:rsidRDefault="00F756CD" w:rsidP="00FE6715">
      <w:pPr>
        <w:tabs>
          <w:tab w:val="left" w:pos="-180"/>
        </w:tabs>
        <w:suppressAutoHyphens/>
        <w:spacing w:before="240" w:after="120"/>
        <w:rPr>
          <w:rFonts w:asciiTheme="minorHAnsi" w:hAnsiTheme="minorHAnsi" w:cstheme="minorHAnsi"/>
          <w:b/>
          <w:color w:val="8064A2" w:themeColor="accent4"/>
          <w:sz w:val="22"/>
          <w:szCs w:val="22"/>
        </w:rPr>
      </w:pPr>
      <w:r w:rsidRPr="00A96E35">
        <w:rPr>
          <w:rFonts w:asciiTheme="minorHAnsi" w:hAnsiTheme="minorHAnsi" w:cstheme="minorHAnsi"/>
          <w:b/>
          <w:color w:val="8064A2" w:themeColor="accent4"/>
          <w:sz w:val="22"/>
          <w:szCs w:val="22"/>
        </w:rPr>
        <w:t xml:space="preserve">Methods of Protecting Against Carbon Monoxide Poisoning </w:t>
      </w:r>
    </w:p>
    <w:p w:rsidR="00EE2E81" w:rsidRPr="00EB0AC3" w:rsidRDefault="00F756CD"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 xml:space="preserve">The most common method of protecting against carbon monoxide poisoning cited was installing a carbon monoxide alarm (55%).  One-fifth recognised that </w:t>
      </w:r>
      <w:r w:rsidR="00EE2E81" w:rsidRPr="00EB0AC3">
        <w:rPr>
          <w:rFonts w:asciiTheme="minorHAnsi" w:hAnsiTheme="minorHAnsi" w:cstheme="minorHAnsi"/>
          <w:sz w:val="22"/>
          <w:szCs w:val="22"/>
        </w:rPr>
        <w:t>r</w:t>
      </w:r>
      <w:r w:rsidRPr="00EB0AC3">
        <w:rPr>
          <w:rFonts w:asciiTheme="minorHAnsi" w:hAnsiTheme="minorHAnsi" w:cstheme="minorHAnsi"/>
          <w:sz w:val="22"/>
          <w:szCs w:val="22"/>
        </w:rPr>
        <w:t>egular servicing of heating systems/appliances</w:t>
      </w:r>
      <w:r w:rsidR="00EE2E81" w:rsidRPr="00EB0AC3">
        <w:rPr>
          <w:rFonts w:asciiTheme="minorHAnsi" w:hAnsiTheme="minorHAnsi" w:cstheme="minorHAnsi"/>
          <w:sz w:val="22"/>
          <w:szCs w:val="22"/>
        </w:rPr>
        <w:t xml:space="preserve"> (21%) and c</w:t>
      </w:r>
      <w:r w:rsidRPr="00EB0AC3">
        <w:rPr>
          <w:rFonts w:asciiTheme="minorHAnsi" w:hAnsiTheme="minorHAnsi" w:cstheme="minorHAnsi"/>
          <w:sz w:val="22"/>
          <w:szCs w:val="22"/>
        </w:rPr>
        <w:t>orrect installation of heating systems / appliances</w:t>
      </w:r>
      <w:r w:rsidR="00EE2E81" w:rsidRPr="00EB0AC3">
        <w:rPr>
          <w:rFonts w:asciiTheme="minorHAnsi" w:hAnsiTheme="minorHAnsi" w:cstheme="minorHAnsi"/>
          <w:sz w:val="22"/>
          <w:szCs w:val="22"/>
        </w:rPr>
        <w:t xml:space="preserve"> (18%) would </w:t>
      </w:r>
      <w:r w:rsidR="00DB0C98" w:rsidRPr="00EB0AC3">
        <w:rPr>
          <w:rFonts w:asciiTheme="minorHAnsi" w:hAnsiTheme="minorHAnsi" w:cstheme="minorHAnsi"/>
          <w:sz w:val="22"/>
          <w:szCs w:val="22"/>
        </w:rPr>
        <w:t xml:space="preserve">also </w:t>
      </w:r>
      <w:r w:rsidR="00EE2E81" w:rsidRPr="00EB0AC3">
        <w:rPr>
          <w:rFonts w:asciiTheme="minorHAnsi" w:hAnsiTheme="minorHAnsi" w:cstheme="minorHAnsi"/>
          <w:sz w:val="22"/>
          <w:szCs w:val="22"/>
        </w:rPr>
        <w:t xml:space="preserve">protect against carbon monoxide poisoning.  </w:t>
      </w:r>
    </w:p>
    <w:p w:rsidR="00EE2E81" w:rsidRPr="00EB0AC3" w:rsidRDefault="00EE2E81"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 xml:space="preserve">Half </w:t>
      </w:r>
      <w:r w:rsidR="00DB0C98" w:rsidRPr="00EB0AC3">
        <w:rPr>
          <w:rFonts w:asciiTheme="minorHAnsi" w:hAnsiTheme="minorHAnsi" w:cstheme="minorHAnsi"/>
          <w:sz w:val="22"/>
          <w:szCs w:val="22"/>
        </w:rPr>
        <w:t>of</w:t>
      </w:r>
      <w:r w:rsidRPr="00EB0AC3">
        <w:rPr>
          <w:rFonts w:asciiTheme="minorHAnsi" w:hAnsiTheme="minorHAnsi" w:cstheme="minorHAnsi"/>
          <w:sz w:val="22"/>
          <w:szCs w:val="22"/>
        </w:rPr>
        <w:t xml:space="preserve"> respondents (50%) </w:t>
      </w:r>
      <w:r w:rsidR="00DB0C98" w:rsidRPr="00EB0AC3">
        <w:rPr>
          <w:rFonts w:asciiTheme="minorHAnsi" w:hAnsiTheme="minorHAnsi" w:cstheme="minorHAnsi"/>
          <w:sz w:val="22"/>
          <w:szCs w:val="22"/>
        </w:rPr>
        <w:t xml:space="preserve">were able to </w:t>
      </w:r>
      <w:r w:rsidRPr="00EB0AC3">
        <w:rPr>
          <w:rFonts w:asciiTheme="minorHAnsi" w:hAnsiTheme="minorHAnsi" w:cstheme="minorHAnsi"/>
          <w:sz w:val="22"/>
          <w:szCs w:val="22"/>
        </w:rPr>
        <w:t xml:space="preserve">identify one </w:t>
      </w:r>
      <w:r w:rsidR="00DB0C98" w:rsidRPr="00EB0AC3">
        <w:rPr>
          <w:rFonts w:asciiTheme="minorHAnsi" w:hAnsiTheme="minorHAnsi" w:cstheme="minorHAnsi"/>
          <w:sz w:val="22"/>
          <w:szCs w:val="22"/>
        </w:rPr>
        <w:t>method of protection</w:t>
      </w:r>
      <w:r w:rsidRPr="00EB0AC3">
        <w:rPr>
          <w:rFonts w:asciiTheme="minorHAnsi" w:hAnsiTheme="minorHAnsi" w:cstheme="minorHAnsi"/>
          <w:sz w:val="22"/>
          <w:szCs w:val="22"/>
        </w:rPr>
        <w:t xml:space="preserve">, while </w:t>
      </w:r>
      <w:r w:rsidR="00DB0C98" w:rsidRPr="00EB0AC3">
        <w:rPr>
          <w:rFonts w:asciiTheme="minorHAnsi" w:hAnsiTheme="minorHAnsi" w:cstheme="minorHAnsi"/>
          <w:sz w:val="22"/>
          <w:szCs w:val="22"/>
        </w:rPr>
        <w:t xml:space="preserve">a further </w:t>
      </w:r>
      <w:r w:rsidRPr="00EB0AC3">
        <w:rPr>
          <w:rFonts w:asciiTheme="minorHAnsi" w:hAnsiTheme="minorHAnsi" w:cstheme="minorHAnsi"/>
          <w:sz w:val="22"/>
          <w:szCs w:val="22"/>
        </w:rPr>
        <w:t>27% could identify two or more.</w:t>
      </w:r>
    </w:p>
    <w:p w:rsidR="001664EA" w:rsidRPr="00A96E35" w:rsidRDefault="001664EA" w:rsidP="00FE6715">
      <w:pPr>
        <w:tabs>
          <w:tab w:val="left" w:pos="-180"/>
        </w:tabs>
        <w:suppressAutoHyphens/>
        <w:spacing w:before="240" w:after="120"/>
        <w:rPr>
          <w:rFonts w:asciiTheme="minorHAnsi" w:hAnsiTheme="minorHAnsi" w:cstheme="minorHAnsi"/>
          <w:b/>
          <w:color w:val="8064A2" w:themeColor="accent4"/>
          <w:sz w:val="22"/>
          <w:szCs w:val="22"/>
        </w:rPr>
      </w:pPr>
      <w:r w:rsidRPr="00A96E35">
        <w:rPr>
          <w:rFonts w:asciiTheme="minorHAnsi" w:hAnsiTheme="minorHAnsi" w:cstheme="minorHAnsi"/>
          <w:b/>
          <w:color w:val="8064A2" w:themeColor="accent4"/>
          <w:sz w:val="22"/>
          <w:szCs w:val="22"/>
        </w:rPr>
        <w:t>Carbon Monoxide Alarms</w:t>
      </w:r>
    </w:p>
    <w:p w:rsidR="00F756CD" w:rsidRPr="00EB0AC3" w:rsidRDefault="001664EA"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One-third of households had a carbon monoxide alarm installed in their home.  Two-fifths of these (42%) tested their alarm at least once a month.</w:t>
      </w:r>
    </w:p>
    <w:p w:rsidR="00FD0A86" w:rsidRPr="00A96E35" w:rsidRDefault="00FD0A86" w:rsidP="00FE6715">
      <w:pPr>
        <w:tabs>
          <w:tab w:val="left" w:pos="-180"/>
        </w:tabs>
        <w:suppressAutoHyphens/>
        <w:spacing w:before="240" w:after="120"/>
        <w:rPr>
          <w:rFonts w:asciiTheme="minorHAnsi" w:hAnsiTheme="minorHAnsi" w:cstheme="minorHAnsi"/>
          <w:b/>
          <w:color w:val="8064A2" w:themeColor="accent4"/>
          <w:sz w:val="22"/>
          <w:szCs w:val="22"/>
        </w:rPr>
      </w:pPr>
      <w:r w:rsidRPr="00A96E35">
        <w:rPr>
          <w:rFonts w:asciiTheme="minorHAnsi" w:hAnsiTheme="minorHAnsi" w:cstheme="minorHAnsi"/>
          <w:b/>
          <w:color w:val="8064A2" w:themeColor="accent4"/>
          <w:sz w:val="22"/>
          <w:szCs w:val="22"/>
        </w:rPr>
        <w:t>Smoke Alarms</w:t>
      </w:r>
    </w:p>
    <w:p w:rsidR="00B5309E" w:rsidRPr="00EB0AC3" w:rsidRDefault="00FD0A86"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 xml:space="preserve">Almost all households (97%) had a smoke alarm installed.  Over half of households (52%) had their smoke alarm hard-wired to the mains, while 45% had smoke alarms fitted with a one year battery and 6% had smoke alarms fitted with a ten year battery.  </w:t>
      </w:r>
    </w:p>
    <w:p w:rsidR="00FD0A86" w:rsidRPr="00EB0AC3" w:rsidRDefault="00FD0A86" w:rsidP="00EB0AC3">
      <w:pPr>
        <w:tabs>
          <w:tab w:val="left" w:pos="-180"/>
        </w:tabs>
        <w:suppressAutoHyphens/>
        <w:spacing w:after="120" w:line="288" w:lineRule="auto"/>
        <w:rPr>
          <w:rFonts w:asciiTheme="minorHAnsi" w:hAnsiTheme="minorHAnsi" w:cstheme="minorHAnsi"/>
          <w:sz w:val="22"/>
          <w:szCs w:val="22"/>
        </w:rPr>
      </w:pPr>
      <w:r w:rsidRPr="00EB0AC3">
        <w:rPr>
          <w:rFonts w:asciiTheme="minorHAnsi" w:hAnsiTheme="minorHAnsi" w:cstheme="minorHAnsi"/>
          <w:sz w:val="22"/>
          <w:szCs w:val="22"/>
        </w:rPr>
        <w:t>Half</w:t>
      </w:r>
      <w:r w:rsidR="007D6E63" w:rsidRPr="00EB0AC3">
        <w:rPr>
          <w:rFonts w:asciiTheme="minorHAnsi" w:hAnsiTheme="minorHAnsi" w:cstheme="minorHAnsi"/>
          <w:sz w:val="22"/>
          <w:szCs w:val="22"/>
        </w:rPr>
        <w:t xml:space="preserve"> </w:t>
      </w:r>
      <w:r w:rsidRPr="00EB0AC3">
        <w:rPr>
          <w:rFonts w:asciiTheme="minorHAnsi" w:hAnsiTheme="minorHAnsi" w:cstheme="minorHAnsi"/>
          <w:sz w:val="22"/>
          <w:szCs w:val="22"/>
        </w:rPr>
        <w:t xml:space="preserve">of those with a smoke alarm installed </w:t>
      </w:r>
      <w:r w:rsidR="00DB0C98" w:rsidRPr="00EB0AC3">
        <w:rPr>
          <w:rFonts w:asciiTheme="minorHAnsi" w:hAnsiTheme="minorHAnsi" w:cstheme="minorHAnsi"/>
          <w:sz w:val="22"/>
          <w:szCs w:val="22"/>
        </w:rPr>
        <w:t xml:space="preserve">(50%) </w:t>
      </w:r>
      <w:r w:rsidRPr="00EB0AC3">
        <w:rPr>
          <w:rFonts w:asciiTheme="minorHAnsi" w:hAnsiTheme="minorHAnsi" w:cstheme="minorHAnsi"/>
          <w:sz w:val="22"/>
          <w:szCs w:val="22"/>
        </w:rPr>
        <w:t xml:space="preserve">tested it at least monthly, while one-fifth </w:t>
      </w:r>
      <w:r w:rsidR="007D6E63" w:rsidRPr="00EB0AC3">
        <w:rPr>
          <w:rFonts w:asciiTheme="minorHAnsi" w:hAnsiTheme="minorHAnsi" w:cstheme="minorHAnsi"/>
          <w:sz w:val="22"/>
          <w:szCs w:val="22"/>
        </w:rPr>
        <w:t xml:space="preserve">(19%) </w:t>
      </w:r>
      <w:r w:rsidRPr="00EB0AC3">
        <w:rPr>
          <w:rFonts w:asciiTheme="minorHAnsi" w:hAnsiTheme="minorHAnsi" w:cstheme="minorHAnsi"/>
          <w:sz w:val="22"/>
          <w:szCs w:val="22"/>
        </w:rPr>
        <w:t>never tested their smoke alarm.</w:t>
      </w:r>
    </w:p>
    <w:p w:rsidR="00FD0A86" w:rsidRPr="00871720" w:rsidRDefault="00FD0A86" w:rsidP="00871720">
      <w:pPr>
        <w:tabs>
          <w:tab w:val="left" w:pos="-180"/>
        </w:tabs>
        <w:suppressAutoHyphens/>
        <w:spacing w:after="60"/>
        <w:rPr>
          <w:rFonts w:asciiTheme="minorHAnsi" w:hAnsiTheme="minorHAnsi" w:cstheme="minorHAnsi"/>
          <w:color w:val="000000" w:themeColor="text1"/>
          <w:sz w:val="22"/>
          <w:szCs w:val="22"/>
        </w:rPr>
      </w:pPr>
    </w:p>
    <w:p w:rsidR="00BA5E1E" w:rsidRPr="00871720" w:rsidRDefault="00BA5E1E" w:rsidP="00871720">
      <w:pPr>
        <w:tabs>
          <w:tab w:val="left" w:pos="-180"/>
        </w:tabs>
        <w:suppressAutoHyphens/>
        <w:spacing w:after="60"/>
        <w:rPr>
          <w:rFonts w:asciiTheme="minorHAnsi" w:hAnsiTheme="minorHAnsi" w:cstheme="minorHAnsi"/>
          <w:color w:val="000000" w:themeColor="text1"/>
          <w:sz w:val="22"/>
          <w:szCs w:val="22"/>
        </w:rPr>
      </w:pPr>
    </w:p>
    <w:p w:rsidR="00A5757E" w:rsidRPr="00871720" w:rsidRDefault="00A5757E" w:rsidP="00BA5E1E">
      <w:pPr>
        <w:tabs>
          <w:tab w:val="left" w:pos="-180"/>
        </w:tabs>
        <w:suppressAutoHyphens/>
        <w:spacing w:after="60"/>
        <w:rPr>
          <w:rFonts w:asciiTheme="minorHAnsi" w:hAnsiTheme="minorHAnsi" w:cstheme="minorHAnsi"/>
          <w:color w:val="000000" w:themeColor="text1"/>
          <w:sz w:val="22"/>
          <w:szCs w:val="22"/>
        </w:rPr>
      </w:pPr>
    </w:p>
    <w:p w:rsidR="00A5757E" w:rsidRDefault="00A5757E" w:rsidP="00BA5E1E">
      <w:pPr>
        <w:tabs>
          <w:tab w:val="left" w:pos="-180"/>
        </w:tabs>
        <w:suppressAutoHyphens/>
        <w:spacing w:after="60"/>
        <w:rPr>
          <w:rFonts w:asciiTheme="minorHAnsi" w:hAnsiTheme="minorHAnsi" w:cstheme="minorHAnsi"/>
          <w:b/>
          <w:color w:val="4F81BD" w:themeColor="accent1"/>
          <w:sz w:val="22"/>
          <w:szCs w:val="22"/>
        </w:rPr>
      </w:pPr>
    </w:p>
    <w:p w:rsidR="00C50688" w:rsidRDefault="00C50688" w:rsidP="00184724">
      <w:pPr>
        <w:tabs>
          <w:tab w:val="center" w:pos="4075"/>
        </w:tabs>
        <w:autoSpaceDE w:val="0"/>
        <w:autoSpaceDN w:val="0"/>
        <w:adjustRightInd w:val="0"/>
        <w:spacing w:after="60"/>
        <w:rPr>
          <w:rFonts w:asciiTheme="minorHAnsi" w:hAnsiTheme="minorHAnsi" w:cstheme="minorHAnsi"/>
          <w:sz w:val="22"/>
          <w:szCs w:val="22"/>
        </w:rPr>
        <w:sectPr w:rsidR="00C50688" w:rsidSect="007033B0">
          <w:footerReference w:type="default" r:id="rId113"/>
          <w:pgSz w:w="16838" w:h="11906" w:orient="landscape"/>
          <w:pgMar w:top="737" w:right="1247" w:bottom="737" w:left="1247" w:header="454" w:footer="567" w:gutter="0"/>
          <w:cols w:num="2" w:space="454"/>
          <w:docGrid w:linePitch="360"/>
        </w:sectPr>
      </w:pPr>
    </w:p>
    <w:p w:rsidR="002D2774" w:rsidRPr="00AC756F" w:rsidRDefault="002D2774" w:rsidP="00AC756F">
      <w:pPr>
        <w:pStyle w:val="Heading3"/>
        <w:spacing w:before="0"/>
        <w:rPr>
          <w:rFonts w:asciiTheme="minorHAnsi" w:hAnsiTheme="minorHAnsi" w:cstheme="minorHAnsi"/>
          <w:color w:val="auto"/>
          <w:sz w:val="22"/>
          <w:szCs w:val="22"/>
        </w:rPr>
      </w:pPr>
      <w:bookmarkStart w:id="60" w:name="_Ref381946617"/>
      <w:bookmarkStart w:id="61" w:name="OLE_LINK5"/>
      <w:r w:rsidRPr="00AC756F">
        <w:rPr>
          <w:rFonts w:asciiTheme="minorHAnsi" w:hAnsiTheme="minorHAnsi" w:cstheme="minorHAnsi"/>
          <w:color w:val="auto"/>
          <w:sz w:val="22"/>
          <w:szCs w:val="22"/>
        </w:rPr>
        <w:t>Health in General – All Respondents</w:t>
      </w:r>
      <w:bookmarkEnd w:id="60"/>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2D2774" w:rsidRPr="00EB5B0E" w:rsidTr="002D2774">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2D2774" w:rsidRPr="00953661" w:rsidRDefault="002D2774" w:rsidP="002D2774">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2D2774" w:rsidRPr="00462493" w:rsidTr="002D2774">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2D2774" w:rsidRPr="00462493" w:rsidTr="002D2774">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Very Good</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30</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28</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35</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31</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r>
      <w:tr w:rsidR="002D2774" w:rsidRPr="00462493" w:rsidTr="002D2774">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Good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r>
      <w:tr w:rsidR="002D2774" w:rsidRPr="00462493" w:rsidTr="002D2774">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Fair</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15</w:t>
            </w:r>
          </w:p>
        </w:tc>
      </w:tr>
      <w:tr w:rsidR="002D2774" w:rsidRPr="00462493" w:rsidTr="002D2774">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2D2774" w:rsidRDefault="002D2774">
            <w:pPr>
              <w:rPr>
                <w:rFonts w:ascii="Calibri" w:hAnsi="Calibri" w:cs="Calibri"/>
                <w:b/>
                <w:bCs/>
                <w:color w:val="000000"/>
              </w:rPr>
            </w:pPr>
            <w:r>
              <w:rPr>
                <w:rFonts w:ascii="Calibri" w:hAnsi="Calibri" w:cs="Calibri"/>
                <w:b/>
                <w:bCs/>
                <w:color w:val="000000"/>
              </w:rPr>
              <w:t>Bad / Very Bad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11</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14</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7</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7</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5</w:t>
            </w:r>
          </w:p>
        </w:tc>
      </w:tr>
    </w:tbl>
    <w:p w:rsidR="002D2774" w:rsidRPr="00F642CF" w:rsidRDefault="002D2774" w:rsidP="002D2774">
      <w:pPr>
        <w:tabs>
          <w:tab w:val="center" w:pos="4075"/>
        </w:tabs>
        <w:autoSpaceDE w:val="0"/>
        <w:autoSpaceDN w:val="0"/>
        <w:adjustRightInd w:val="0"/>
        <w:rPr>
          <w:rFonts w:asciiTheme="minorHAnsi" w:hAnsiTheme="minorHAnsi" w:cstheme="minorHAnsi"/>
          <w:b/>
          <w:sz w:val="8"/>
          <w:szCs w:val="8"/>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Health in General –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2D2774" w:rsidRPr="00EB5B0E" w:rsidTr="002D2774">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2D2774" w:rsidRPr="00EB5B0E" w:rsidRDefault="002D2774" w:rsidP="002D2774">
            <w:pPr>
              <w:jc w:val="center"/>
              <w:rPr>
                <w:rFonts w:ascii="Calibri" w:hAnsi="Calibri" w:cs="Calibri"/>
                <w:b/>
                <w:bCs/>
                <w:color w:val="000000"/>
                <w:lang w:eastAsia="en-GB"/>
              </w:rPr>
            </w:pPr>
            <w:r>
              <w:rPr>
                <w:rFonts w:ascii="Calibri" w:hAnsi="Calibri" w:cs="Calibri"/>
                <w:b/>
                <w:bCs/>
                <w:color w:val="000000"/>
                <w:lang w:eastAsia="en-GB"/>
              </w:rPr>
              <w:t>Age</w:t>
            </w:r>
          </w:p>
        </w:tc>
      </w:tr>
      <w:tr w:rsidR="002D2774" w:rsidRPr="00462493" w:rsidTr="002D2774">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75+</w:t>
            </w:r>
          </w:p>
        </w:tc>
      </w:tr>
      <w:tr w:rsidR="002D2774" w:rsidRPr="00462493" w:rsidTr="002D2774">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Very Good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12</w:t>
            </w:r>
          </w:p>
        </w:tc>
      </w:tr>
      <w:tr w:rsidR="002D2774" w:rsidRPr="00462493"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Good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42</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48</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42</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34</w:t>
            </w:r>
          </w:p>
        </w:tc>
      </w:tr>
      <w:tr w:rsidR="002D2774" w:rsidRPr="00462493"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Fair</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14</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27</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r>
      <w:tr w:rsidR="002D2774" w:rsidRPr="00462493" w:rsidTr="002D2774">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2D2774" w:rsidRDefault="002D2774">
            <w:pPr>
              <w:rPr>
                <w:rFonts w:ascii="Calibri" w:hAnsi="Calibri" w:cs="Calibri"/>
                <w:b/>
                <w:bCs/>
                <w:color w:val="000000"/>
              </w:rPr>
            </w:pPr>
            <w:r>
              <w:rPr>
                <w:rFonts w:ascii="Calibri" w:hAnsi="Calibri" w:cs="Calibri"/>
                <w:b/>
                <w:bCs/>
                <w:color w:val="000000"/>
              </w:rPr>
              <w:t>Bad / Very Bad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11</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13</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15</w:t>
            </w:r>
          </w:p>
        </w:tc>
      </w:tr>
    </w:tbl>
    <w:p w:rsidR="002D2774" w:rsidRPr="00F642CF" w:rsidRDefault="002D2774" w:rsidP="002D2774">
      <w:pPr>
        <w:tabs>
          <w:tab w:val="center" w:pos="4075"/>
        </w:tabs>
        <w:autoSpaceDE w:val="0"/>
        <w:autoSpaceDN w:val="0"/>
        <w:adjustRightInd w:val="0"/>
        <w:rPr>
          <w:rFonts w:asciiTheme="minorHAnsi" w:hAnsiTheme="minorHAnsi" w:cstheme="minorHAnsi"/>
          <w:b/>
          <w:sz w:val="8"/>
          <w:szCs w:val="8"/>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Health in General –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2D2774" w:rsidRPr="00EB5B0E" w:rsidTr="002D2774">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2D2774" w:rsidRPr="00EB5B0E" w:rsidRDefault="002D2774" w:rsidP="002D2774">
            <w:pPr>
              <w:jc w:val="center"/>
              <w:rPr>
                <w:rFonts w:ascii="Calibri" w:hAnsi="Calibri" w:cs="Calibri"/>
                <w:b/>
                <w:bCs/>
                <w:color w:val="000000"/>
                <w:lang w:eastAsia="en-GB"/>
              </w:rPr>
            </w:pPr>
            <w:r>
              <w:rPr>
                <w:rFonts w:ascii="Calibri" w:hAnsi="Calibri" w:cs="Calibri"/>
                <w:b/>
                <w:bCs/>
                <w:color w:val="000000"/>
                <w:lang w:eastAsia="en-GB"/>
              </w:rPr>
              <w:t>Age</w:t>
            </w:r>
          </w:p>
        </w:tc>
      </w:tr>
      <w:tr w:rsidR="002D2774" w:rsidTr="002D2774">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75+</w:t>
            </w:r>
          </w:p>
        </w:tc>
      </w:tr>
      <w:tr w:rsidR="002D2774" w:rsidTr="002D2774">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Very Good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42</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14</w:t>
            </w:r>
          </w:p>
        </w:tc>
      </w:tr>
      <w:tr w:rsidR="002D2774"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Good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43</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44</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46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35</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32</w:t>
            </w:r>
          </w:p>
        </w:tc>
      </w:tr>
      <w:tr w:rsidR="002D2774"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2D2774" w:rsidRDefault="002D2774">
            <w:pPr>
              <w:rPr>
                <w:rFonts w:ascii="Calibri" w:hAnsi="Calibri" w:cs="Calibri"/>
                <w:b/>
                <w:bCs/>
                <w:color w:val="000000"/>
              </w:rPr>
            </w:pPr>
            <w:r>
              <w:rPr>
                <w:rFonts w:ascii="Calibri" w:hAnsi="Calibri" w:cs="Calibri"/>
                <w:b/>
                <w:bCs/>
                <w:color w:val="000000"/>
              </w:rPr>
              <w:t>Fair</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20</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15</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11</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30</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35</w:t>
            </w:r>
          </w:p>
        </w:tc>
      </w:tr>
      <w:tr w:rsidR="002D2774" w:rsidTr="002D2774">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2D2774" w:rsidRDefault="002D2774">
            <w:pPr>
              <w:rPr>
                <w:rFonts w:ascii="Calibri" w:hAnsi="Calibri" w:cs="Calibri"/>
                <w:b/>
                <w:bCs/>
                <w:color w:val="000000"/>
              </w:rPr>
            </w:pPr>
            <w:r>
              <w:rPr>
                <w:rFonts w:ascii="Calibri" w:hAnsi="Calibri" w:cs="Calibri"/>
                <w:b/>
                <w:bCs/>
                <w:color w:val="000000"/>
              </w:rPr>
              <w:t>Bad / Very Bad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11</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10</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2D2774" w:rsidRDefault="002D2774">
            <w:pPr>
              <w:jc w:val="right"/>
              <w:rPr>
                <w:rFonts w:ascii="Calibri" w:hAnsi="Calibri" w:cs="Calibri"/>
                <w:color w:val="000000"/>
                <w:sz w:val="22"/>
                <w:szCs w:val="22"/>
              </w:rPr>
            </w:pPr>
            <w:r>
              <w:rPr>
                <w:rFonts w:ascii="Calibri" w:hAnsi="Calibri" w:cs="Calibri"/>
                <w:color w:val="000000"/>
                <w:sz w:val="22"/>
                <w:szCs w:val="22"/>
              </w:rPr>
              <w:t>5</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16</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2D2774" w:rsidRDefault="002D2774">
            <w:pPr>
              <w:jc w:val="right"/>
              <w:rPr>
                <w:rFonts w:ascii="Calibri" w:hAnsi="Calibri" w:cs="Calibri"/>
                <w:color w:val="000000"/>
                <w:sz w:val="22"/>
                <w:szCs w:val="22"/>
              </w:rPr>
            </w:pPr>
            <w:r>
              <w:rPr>
                <w:rFonts w:ascii="Calibri" w:hAnsi="Calibri" w:cs="Calibri"/>
                <w:color w:val="000000"/>
                <w:sz w:val="22"/>
                <w:szCs w:val="22"/>
              </w:rPr>
              <w:t>18</w:t>
            </w:r>
          </w:p>
        </w:tc>
      </w:tr>
    </w:tbl>
    <w:p w:rsidR="002D2774" w:rsidRDefault="002D2774" w:rsidP="002D2774">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962CF3" w:rsidRDefault="00962CF3" w:rsidP="00597CCA">
      <w:pPr>
        <w:tabs>
          <w:tab w:val="center" w:pos="4075"/>
        </w:tabs>
        <w:autoSpaceDE w:val="0"/>
        <w:autoSpaceDN w:val="0"/>
        <w:adjustRightInd w:val="0"/>
        <w:rPr>
          <w:rFonts w:asciiTheme="minorHAnsi" w:hAnsiTheme="minorHAnsi" w:cstheme="minorHAnsi"/>
          <w:b/>
          <w:sz w:val="22"/>
          <w:szCs w:val="22"/>
        </w:rPr>
      </w:pPr>
    </w:p>
    <w:p w:rsidR="00962CF3" w:rsidRDefault="00962CF3"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C31F11">
        <w:rPr>
          <w:rFonts w:asciiTheme="minorHAnsi" w:hAnsiTheme="minorHAnsi" w:cstheme="minorHAnsi"/>
          <w:b/>
          <w:sz w:val="22"/>
          <w:szCs w:val="22"/>
        </w:rPr>
        <w:t>over last 12 months</w:t>
      </w:r>
      <w:r>
        <w:rPr>
          <w:rFonts w:asciiTheme="minorHAnsi" w:hAnsiTheme="minorHAnsi" w:cstheme="minorHAnsi"/>
          <w:b/>
          <w:sz w:val="22"/>
          <w:szCs w:val="22"/>
        </w:rPr>
        <w:t xml:space="preserve"> – All Respondents</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2D2774" w:rsidRPr="00EB5B0E" w:rsidTr="002D2774">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2D2774" w:rsidRPr="00953661" w:rsidRDefault="002D2774" w:rsidP="002D2774">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2D2774" w:rsidRPr="00462493" w:rsidTr="002D2774">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C31F11" w:rsidRPr="00462493" w:rsidTr="002D2774">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Good</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60</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59</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58</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64</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60</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59</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56</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62</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69</w:t>
            </w:r>
          </w:p>
        </w:tc>
      </w:tr>
      <w:tr w:rsidR="00C31F11" w:rsidRPr="00462493" w:rsidTr="002D2774">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Fairly Good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r>
      <w:tr w:rsidR="00C31F11" w:rsidRPr="00462493" w:rsidTr="002D2774">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pPr>
              <w:rPr>
                <w:rFonts w:ascii="Calibri" w:hAnsi="Calibri" w:cs="Calibri"/>
                <w:b/>
                <w:bCs/>
                <w:color w:val="000000"/>
              </w:rPr>
            </w:pPr>
            <w:r>
              <w:rPr>
                <w:rFonts w:ascii="Calibri" w:hAnsi="Calibri" w:cs="Calibri"/>
                <w:b/>
                <w:bCs/>
                <w:color w:val="000000"/>
              </w:rPr>
              <w:t>Not Good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r>
    </w:tbl>
    <w:p w:rsidR="002D2774" w:rsidRPr="00F642CF" w:rsidRDefault="002D2774" w:rsidP="002D2774">
      <w:pPr>
        <w:tabs>
          <w:tab w:val="center" w:pos="4075"/>
        </w:tabs>
        <w:autoSpaceDE w:val="0"/>
        <w:autoSpaceDN w:val="0"/>
        <w:adjustRightInd w:val="0"/>
        <w:rPr>
          <w:rFonts w:asciiTheme="minorHAnsi" w:hAnsiTheme="minorHAnsi" w:cstheme="minorHAnsi"/>
          <w:b/>
          <w:sz w:val="8"/>
          <w:szCs w:val="8"/>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C31F11">
        <w:rPr>
          <w:rFonts w:asciiTheme="minorHAnsi" w:hAnsiTheme="minorHAnsi" w:cstheme="minorHAnsi"/>
          <w:b/>
          <w:sz w:val="22"/>
          <w:szCs w:val="22"/>
        </w:rPr>
        <w:t xml:space="preserve">over last 12 months </w:t>
      </w:r>
      <w:r>
        <w:rPr>
          <w:rFonts w:asciiTheme="minorHAnsi" w:hAnsiTheme="minorHAnsi" w:cstheme="minorHAnsi"/>
          <w:b/>
          <w:sz w:val="22"/>
          <w:szCs w:val="22"/>
        </w:rPr>
        <w:t>–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2D2774" w:rsidRPr="00EB5B0E" w:rsidTr="002D2774">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2D2774" w:rsidRPr="00EB5B0E" w:rsidRDefault="002D2774" w:rsidP="002D2774">
            <w:pPr>
              <w:jc w:val="center"/>
              <w:rPr>
                <w:rFonts w:ascii="Calibri" w:hAnsi="Calibri" w:cs="Calibri"/>
                <w:b/>
                <w:bCs/>
                <w:color w:val="000000"/>
                <w:lang w:eastAsia="en-GB"/>
              </w:rPr>
            </w:pPr>
            <w:r>
              <w:rPr>
                <w:rFonts w:ascii="Calibri" w:hAnsi="Calibri" w:cs="Calibri"/>
                <w:b/>
                <w:bCs/>
                <w:color w:val="000000"/>
                <w:lang w:eastAsia="en-GB"/>
              </w:rPr>
              <w:t>Age</w:t>
            </w:r>
          </w:p>
        </w:tc>
      </w:tr>
      <w:tr w:rsidR="002D2774" w:rsidRPr="00462493" w:rsidTr="002D2774">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75+</w:t>
            </w:r>
          </w:p>
        </w:tc>
      </w:tr>
      <w:tr w:rsidR="00C31F11" w:rsidRPr="00462493" w:rsidTr="002D2774">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Good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60</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85</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55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45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44</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34</w:t>
            </w:r>
          </w:p>
        </w:tc>
      </w:tr>
      <w:tr w:rsidR="00C31F11" w:rsidRPr="00462493"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Fairly Good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28</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36</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41</w:t>
            </w:r>
          </w:p>
        </w:tc>
      </w:tr>
      <w:tr w:rsidR="00C31F11" w:rsidRPr="00462493" w:rsidTr="002D2774">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pPr>
              <w:rPr>
                <w:rFonts w:ascii="Calibri" w:hAnsi="Calibri" w:cs="Calibri"/>
                <w:b/>
                <w:bCs/>
                <w:color w:val="000000"/>
              </w:rPr>
            </w:pPr>
            <w:r>
              <w:rPr>
                <w:rFonts w:ascii="Calibri" w:hAnsi="Calibri" w:cs="Calibri"/>
                <w:b/>
                <w:bCs/>
                <w:color w:val="000000"/>
              </w:rPr>
              <w:t>Not Good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r>
    </w:tbl>
    <w:p w:rsidR="002D2774" w:rsidRPr="00F642CF" w:rsidRDefault="002D2774" w:rsidP="002D2774">
      <w:pPr>
        <w:tabs>
          <w:tab w:val="center" w:pos="4075"/>
        </w:tabs>
        <w:autoSpaceDE w:val="0"/>
        <w:autoSpaceDN w:val="0"/>
        <w:adjustRightInd w:val="0"/>
        <w:rPr>
          <w:rFonts w:asciiTheme="minorHAnsi" w:hAnsiTheme="minorHAnsi" w:cstheme="minorHAnsi"/>
          <w:b/>
          <w:sz w:val="8"/>
          <w:szCs w:val="8"/>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p>
    <w:p w:rsidR="002D2774" w:rsidRDefault="002D2774" w:rsidP="002D277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C31F11">
        <w:rPr>
          <w:rFonts w:asciiTheme="minorHAnsi" w:hAnsiTheme="minorHAnsi" w:cstheme="minorHAnsi"/>
          <w:b/>
          <w:sz w:val="22"/>
          <w:szCs w:val="22"/>
        </w:rPr>
        <w:t xml:space="preserve">over last 12 months </w:t>
      </w:r>
      <w:r>
        <w:rPr>
          <w:rFonts w:asciiTheme="minorHAnsi" w:hAnsiTheme="minorHAnsi" w:cstheme="minorHAnsi"/>
          <w:b/>
          <w:sz w:val="22"/>
          <w:szCs w:val="22"/>
        </w:rPr>
        <w:t>–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2D2774" w:rsidRPr="00EB5B0E" w:rsidTr="002D2774">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2D2774" w:rsidRPr="00BE1A84" w:rsidRDefault="002D2774" w:rsidP="002D2774">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2D2774" w:rsidRPr="00EB5B0E" w:rsidRDefault="002D2774" w:rsidP="002D277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2D2774" w:rsidRPr="00EB5B0E" w:rsidRDefault="002D2774" w:rsidP="002D2774">
            <w:pPr>
              <w:jc w:val="center"/>
              <w:rPr>
                <w:rFonts w:ascii="Calibri" w:hAnsi="Calibri" w:cs="Calibri"/>
                <w:b/>
                <w:bCs/>
                <w:color w:val="000000"/>
                <w:lang w:eastAsia="en-GB"/>
              </w:rPr>
            </w:pPr>
            <w:r>
              <w:rPr>
                <w:rFonts w:ascii="Calibri" w:hAnsi="Calibri" w:cs="Calibri"/>
                <w:b/>
                <w:bCs/>
                <w:color w:val="000000"/>
                <w:lang w:eastAsia="en-GB"/>
              </w:rPr>
              <w:t>Age</w:t>
            </w:r>
          </w:p>
        </w:tc>
      </w:tr>
      <w:tr w:rsidR="002D2774" w:rsidTr="002D2774">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2D2774" w:rsidRPr="00462493" w:rsidRDefault="002D2774" w:rsidP="002D2774">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2D2774" w:rsidRPr="00462493" w:rsidRDefault="002D2774" w:rsidP="002D277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2D2774" w:rsidRDefault="002D2774" w:rsidP="002D2774">
            <w:pPr>
              <w:rPr>
                <w:rFonts w:ascii="Calibri" w:hAnsi="Calibri" w:cs="Calibri"/>
                <w:b/>
                <w:bCs/>
                <w:color w:val="000000"/>
              </w:rPr>
            </w:pPr>
            <w:r>
              <w:rPr>
                <w:rFonts w:ascii="Calibri" w:hAnsi="Calibri" w:cs="Calibri"/>
                <w:b/>
                <w:bCs/>
                <w:color w:val="000000"/>
              </w:rPr>
              <w:t>75+</w:t>
            </w:r>
          </w:p>
        </w:tc>
      </w:tr>
      <w:tr w:rsidR="00C31F11" w:rsidTr="002D2774">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Good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58</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69</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77</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61</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42</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30</w:t>
            </w:r>
          </w:p>
        </w:tc>
      </w:tr>
      <w:tr w:rsidR="00C31F11" w:rsidTr="002D2774">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Fairly Good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24</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33</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39</w:t>
            </w:r>
          </w:p>
        </w:tc>
      </w:tr>
      <w:tr w:rsidR="00C31F11" w:rsidTr="002D2774">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rsidP="00093078">
            <w:pPr>
              <w:rPr>
                <w:rFonts w:ascii="Calibri" w:hAnsi="Calibri" w:cs="Calibri"/>
                <w:b/>
                <w:bCs/>
                <w:color w:val="000000"/>
              </w:rPr>
            </w:pPr>
            <w:r>
              <w:rPr>
                <w:rFonts w:ascii="Calibri" w:hAnsi="Calibri" w:cs="Calibri"/>
                <w:b/>
                <w:bCs/>
                <w:color w:val="000000"/>
              </w:rPr>
              <w:t>Not Good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9</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32</w:t>
            </w:r>
          </w:p>
        </w:tc>
      </w:tr>
    </w:tbl>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962CF3" w:rsidRDefault="00962CF3" w:rsidP="00597CCA">
      <w:pPr>
        <w:tabs>
          <w:tab w:val="center" w:pos="4075"/>
        </w:tabs>
        <w:autoSpaceDE w:val="0"/>
        <w:autoSpaceDN w:val="0"/>
        <w:adjustRightInd w:val="0"/>
        <w:rPr>
          <w:rFonts w:asciiTheme="minorHAnsi" w:hAnsiTheme="minorHAnsi" w:cstheme="minorHAnsi"/>
          <w:b/>
          <w:sz w:val="22"/>
          <w:szCs w:val="22"/>
        </w:rPr>
      </w:pPr>
    </w:p>
    <w:p w:rsidR="00962CF3" w:rsidRDefault="00962CF3"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2D2774" w:rsidRDefault="002D2774" w:rsidP="00597CCA">
      <w:pPr>
        <w:tabs>
          <w:tab w:val="center" w:pos="4075"/>
        </w:tabs>
        <w:autoSpaceDE w:val="0"/>
        <w:autoSpaceDN w:val="0"/>
        <w:adjustRightInd w:val="0"/>
        <w:rPr>
          <w:rFonts w:asciiTheme="minorHAnsi" w:hAnsiTheme="minorHAnsi" w:cstheme="minorHAnsi"/>
          <w:b/>
          <w:sz w:val="22"/>
          <w:szCs w:val="22"/>
        </w:rPr>
      </w:pPr>
    </w:p>
    <w:p w:rsidR="00873670" w:rsidRDefault="00873670"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C31F1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093078">
        <w:rPr>
          <w:rFonts w:asciiTheme="minorHAnsi" w:hAnsiTheme="minorHAnsi" w:cstheme="minorHAnsi"/>
          <w:b/>
          <w:sz w:val="22"/>
          <w:szCs w:val="22"/>
        </w:rPr>
        <w:t>compared with</w:t>
      </w:r>
      <w:r>
        <w:rPr>
          <w:rFonts w:asciiTheme="minorHAnsi" w:hAnsiTheme="minorHAnsi" w:cstheme="minorHAnsi"/>
          <w:b/>
          <w:sz w:val="22"/>
          <w:szCs w:val="22"/>
        </w:rPr>
        <w:t xml:space="preserve"> 12 months </w:t>
      </w:r>
      <w:r w:rsidR="00093078">
        <w:rPr>
          <w:rFonts w:asciiTheme="minorHAnsi" w:hAnsiTheme="minorHAnsi" w:cstheme="minorHAnsi"/>
          <w:b/>
          <w:sz w:val="22"/>
          <w:szCs w:val="22"/>
        </w:rPr>
        <w:t xml:space="preserve">ago </w:t>
      </w:r>
      <w:r>
        <w:rPr>
          <w:rFonts w:asciiTheme="minorHAnsi" w:hAnsiTheme="minorHAnsi" w:cstheme="minorHAnsi"/>
          <w:b/>
          <w:sz w:val="22"/>
          <w:szCs w:val="22"/>
        </w:rPr>
        <w:t>– All Respondents</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C31F11" w:rsidRPr="00EB5B0E" w:rsidTr="00093078">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C31F11" w:rsidRPr="00BE1A84" w:rsidRDefault="00C31F11" w:rsidP="00093078">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C31F11" w:rsidRPr="00953661" w:rsidRDefault="00C31F11" w:rsidP="00093078">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C31F11" w:rsidRPr="00462493" w:rsidTr="00093078">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C31F11" w:rsidRPr="00462493" w:rsidRDefault="00C31F11" w:rsidP="00093078">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C31F11" w:rsidRPr="00462493" w:rsidTr="00093078">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Better</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r>
      <w:tr w:rsidR="00C31F11" w:rsidRPr="00462493" w:rsidTr="00093078">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pPr>
              <w:rPr>
                <w:rFonts w:ascii="Calibri" w:hAnsi="Calibri" w:cs="Calibri"/>
                <w:b/>
                <w:bCs/>
                <w:color w:val="000000"/>
              </w:rPr>
            </w:pPr>
            <w:r>
              <w:rPr>
                <w:rFonts w:ascii="Calibri" w:hAnsi="Calibri" w:cs="Calibri"/>
                <w:b/>
                <w:bCs/>
                <w:color w:val="000000"/>
              </w:rPr>
              <w:t>The Same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69</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71</w:t>
            </w:r>
          </w:p>
        </w:tc>
      </w:tr>
      <w:tr w:rsidR="00C31F11" w:rsidRPr="00462493" w:rsidTr="00093078">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pPr>
              <w:rPr>
                <w:rFonts w:ascii="Calibri" w:hAnsi="Calibri" w:cs="Calibri"/>
                <w:b/>
                <w:bCs/>
                <w:color w:val="000000"/>
              </w:rPr>
            </w:pPr>
            <w:r>
              <w:rPr>
                <w:rFonts w:ascii="Calibri" w:hAnsi="Calibri" w:cs="Calibri"/>
                <w:b/>
                <w:bCs/>
                <w:color w:val="000000"/>
              </w:rPr>
              <w:t>Worse</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20</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r>
    </w:tbl>
    <w:p w:rsidR="00C31F11" w:rsidRPr="00F642CF" w:rsidRDefault="00C31F11" w:rsidP="00C31F11">
      <w:pPr>
        <w:tabs>
          <w:tab w:val="center" w:pos="4075"/>
        </w:tabs>
        <w:autoSpaceDE w:val="0"/>
        <w:autoSpaceDN w:val="0"/>
        <w:adjustRightInd w:val="0"/>
        <w:rPr>
          <w:rFonts w:asciiTheme="minorHAnsi" w:hAnsiTheme="minorHAnsi" w:cstheme="minorHAnsi"/>
          <w:b/>
          <w:sz w:val="8"/>
          <w:szCs w:val="8"/>
        </w:rPr>
      </w:pPr>
    </w:p>
    <w:p w:rsidR="00C31F11" w:rsidRDefault="00C31F11" w:rsidP="00C31F11">
      <w:pPr>
        <w:tabs>
          <w:tab w:val="center" w:pos="4075"/>
        </w:tabs>
        <w:autoSpaceDE w:val="0"/>
        <w:autoSpaceDN w:val="0"/>
        <w:adjustRightInd w:val="0"/>
        <w:rPr>
          <w:rFonts w:asciiTheme="minorHAnsi" w:hAnsiTheme="minorHAnsi" w:cstheme="minorHAnsi"/>
          <w:b/>
          <w:sz w:val="22"/>
          <w:szCs w:val="22"/>
        </w:rPr>
      </w:pPr>
    </w:p>
    <w:p w:rsidR="00C31F11" w:rsidRDefault="00C31F11" w:rsidP="00C31F1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093078">
        <w:rPr>
          <w:rFonts w:asciiTheme="minorHAnsi" w:hAnsiTheme="minorHAnsi" w:cstheme="minorHAnsi"/>
          <w:b/>
          <w:sz w:val="22"/>
          <w:szCs w:val="22"/>
        </w:rPr>
        <w:t xml:space="preserve">compared with 12 months ago </w:t>
      </w:r>
      <w:r>
        <w:rPr>
          <w:rFonts w:asciiTheme="minorHAnsi" w:hAnsiTheme="minorHAnsi" w:cstheme="minorHAnsi"/>
          <w:b/>
          <w:sz w:val="22"/>
          <w:szCs w:val="22"/>
        </w:rPr>
        <w:t>–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C31F11" w:rsidRPr="00EB5B0E" w:rsidTr="00093078">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C31F11" w:rsidRPr="00BE1A84" w:rsidRDefault="00C31F11" w:rsidP="00093078">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C31F11" w:rsidRPr="00EB5B0E" w:rsidRDefault="00C31F11" w:rsidP="00093078">
            <w:pPr>
              <w:jc w:val="center"/>
              <w:rPr>
                <w:rFonts w:ascii="Calibri" w:hAnsi="Calibri" w:cs="Calibri"/>
                <w:b/>
                <w:bCs/>
                <w:color w:val="000000"/>
                <w:lang w:eastAsia="en-GB"/>
              </w:rPr>
            </w:pPr>
            <w:r>
              <w:rPr>
                <w:rFonts w:ascii="Calibri" w:hAnsi="Calibri" w:cs="Calibri"/>
                <w:b/>
                <w:bCs/>
                <w:color w:val="000000"/>
                <w:lang w:eastAsia="en-GB"/>
              </w:rPr>
              <w:t>Age</w:t>
            </w:r>
          </w:p>
        </w:tc>
      </w:tr>
      <w:tr w:rsidR="00C31F11" w:rsidRPr="00462493" w:rsidTr="00093078">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C31F11" w:rsidRPr="00462493" w:rsidRDefault="00C31F11" w:rsidP="00093078">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75+</w:t>
            </w:r>
          </w:p>
        </w:tc>
      </w:tr>
      <w:tr w:rsidR="00C31F11" w:rsidRPr="00462493" w:rsidTr="00093078">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Better</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9</w:t>
            </w:r>
          </w:p>
        </w:tc>
      </w:tr>
      <w:tr w:rsidR="00C31F11" w:rsidRPr="00462493" w:rsidTr="00093078">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The Same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69</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75</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63</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r>
      <w:tr w:rsidR="00C31F11" w:rsidRPr="00462493" w:rsidTr="00093078">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rsidP="00093078">
            <w:pPr>
              <w:rPr>
                <w:rFonts w:ascii="Calibri" w:hAnsi="Calibri" w:cs="Calibri"/>
                <w:b/>
                <w:bCs/>
                <w:color w:val="000000"/>
              </w:rPr>
            </w:pPr>
            <w:r>
              <w:rPr>
                <w:rFonts w:ascii="Calibri" w:hAnsi="Calibri" w:cs="Calibri"/>
                <w:b/>
                <w:bCs/>
                <w:color w:val="000000"/>
              </w:rPr>
              <w:t>Worse</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9</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20</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26</w:t>
            </w:r>
          </w:p>
        </w:tc>
      </w:tr>
    </w:tbl>
    <w:p w:rsidR="00C31F11" w:rsidRPr="00F642CF" w:rsidRDefault="00C31F11" w:rsidP="00C31F11">
      <w:pPr>
        <w:tabs>
          <w:tab w:val="center" w:pos="4075"/>
        </w:tabs>
        <w:autoSpaceDE w:val="0"/>
        <w:autoSpaceDN w:val="0"/>
        <w:adjustRightInd w:val="0"/>
        <w:rPr>
          <w:rFonts w:asciiTheme="minorHAnsi" w:hAnsiTheme="minorHAnsi" w:cstheme="minorHAnsi"/>
          <w:b/>
          <w:sz w:val="8"/>
          <w:szCs w:val="8"/>
        </w:rPr>
      </w:pPr>
    </w:p>
    <w:p w:rsidR="00C31F11" w:rsidRDefault="00C31F11" w:rsidP="00C31F11">
      <w:pPr>
        <w:tabs>
          <w:tab w:val="center" w:pos="4075"/>
        </w:tabs>
        <w:autoSpaceDE w:val="0"/>
        <w:autoSpaceDN w:val="0"/>
        <w:adjustRightInd w:val="0"/>
        <w:rPr>
          <w:rFonts w:asciiTheme="minorHAnsi" w:hAnsiTheme="minorHAnsi" w:cstheme="minorHAnsi"/>
          <w:b/>
          <w:sz w:val="22"/>
          <w:szCs w:val="22"/>
        </w:rPr>
      </w:pPr>
    </w:p>
    <w:p w:rsidR="00C31F11" w:rsidRDefault="00C31F11" w:rsidP="00C31F1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Health </w:t>
      </w:r>
      <w:r w:rsidR="00093078">
        <w:rPr>
          <w:rFonts w:asciiTheme="minorHAnsi" w:hAnsiTheme="minorHAnsi" w:cstheme="minorHAnsi"/>
          <w:b/>
          <w:sz w:val="22"/>
          <w:szCs w:val="22"/>
        </w:rPr>
        <w:t xml:space="preserve">compared with 12 months ago </w:t>
      </w:r>
      <w:r>
        <w:rPr>
          <w:rFonts w:asciiTheme="minorHAnsi" w:hAnsiTheme="minorHAnsi" w:cstheme="minorHAnsi"/>
          <w:b/>
          <w:sz w:val="22"/>
          <w:szCs w:val="22"/>
        </w:rPr>
        <w:t>–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C31F11" w:rsidRPr="00EB5B0E" w:rsidTr="00093078">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C31F11" w:rsidRPr="00BE1A84" w:rsidRDefault="00C31F11" w:rsidP="00093078">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C31F11" w:rsidRPr="00EB5B0E" w:rsidRDefault="00C31F11"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C31F11" w:rsidRPr="00EB5B0E" w:rsidRDefault="00C31F11" w:rsidP="00093078">
            <w:pPr>
              <w:jc w:val="center"/>
              <w:rPr>
                <w:rFonts w:ascii="Calibri" w:hAnsi="Calibri" w:cs="Calibri"/>
                <w:b/>
                <w:bCs/>
                <w:color w:val="000000"/>
                <w:lang w:eastAsia="en-GB"/>
              </w:rPr>
            </w:pPr>
            <w:r>
              <w:rPr>
                <w:rFonts w:ascii="Calibri" w:hAnsi="Calibri" w:cs="Calibri"/>
                <w:b/>
                <w:bCs/>
                <w:color w:val="000000"/>
                <w:lang w:eastAsia="en-GB"/>
              </w:rPr>
              <w:t>Age</w:t>
            </w:r>
          </w:p>
        </w:tc>
      </w:tr>
      <w:tr w:rsidR="00C31F11" w:rsidTr="00093078">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C31F11" w:rsidRPr="00462493" w:rsidRDefault="00C31F11" w:rsidP="00093078">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C31F11" w:rsidRPr="00462493" w:rsidRDefault="00C31F11"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C31F11" w:rsidRDefault="00C31F11" w:rsidP="00093078">
            <w:pPr>
              <w:rPr>
                <w:rFonts w:ascii="Calibri" w:hAnsi="Calibri" w:cs="Calibri"/>
                <w:b/>
                <w:bCs/>
                <w:color w:val="000000"/>
              </w:rPr>
            </w:pPr>
            <w:r>
              <w:rPr>
                <w:rFonts w:ascii="Calibri" w:hAnsi="Calibri" w:cs="Calibri"/>
                <w:b/>
                <w:bCs/>
                <w:color w:val="000000"/>
              </w:rPr>
              <w:t>75+</w:t>
            </w:r>
          </w:p>
        </w:tc>
      </w:tr>
      <w:tr w:rsidR="00C31F11" w:rsidTr="00093078">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Better</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11</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8</w:t>
            </w:r>
          </w:p>
        </w:tc>
      </w:tr>
      <w:tr w:rsidR="00C31F11" w:rsidTr="00093078">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31F11" w:rsidRDefault="00C31F11" w:rsidP="00093078">
            <w:pPr>
              <w:rPr>
                <w:rFonts w:ascii="Calibri" w:hAnsi="Calibri" w:cs="Calibri"/>
                <w:b/>
                <w:bCs/>
                <w:color w:val="000000"/>
              </w:rPr>
            </w:pPr>
            <w:r>
              <w:rPr>
                <w:rFonts w:ascii="Calibri" w:hAnsi="Calibri" w:cs="Calibri"/>
                <w:b/>
                <w:bCs/>
                <w:color w:val="000000"/>
              </w:rPr>
              <w:t>The Same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67</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74</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70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64</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58</w:t>
            </w:r>
          </w:p>
        </w:tc>
      </w:tr>
      <w:tr w:rsidR="00C31F11" w:rsidTr="00093078">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31F11" w:rsidRDefault="00C31F11" w:rsidP="00093078">
            <w:pPr>
              <w:rPr>
                <w:rFonts w:ascii="Calibri" w:hAnsi="Calibri" w:cs="Calibri"/>
                <w:b/>
                <w:bCs/>
                <w:color w:val="000000"/>
              </w:rPr>
            </w:pPr>
            <w:r>
              <w:rPr>
                <w:rFonts w:ascii="Calibri" w:hAnsi="Calibri" w:cs="Calibri"/>
                <w:b/>
                <w:bCs/>
                <w:color w:val="000000"/>
              </w:rPr>
              <w:t>Worse</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31F11" w:rsidRDefault="00C31F11">
            <w:pPr>
              <w:jc w:val="right"/>
              <w:rPr>
                <w:rFonts w:ascii="Calibri" w:hAnsi="Calibri" w:cs="Calibri"/>
                <w:color w:val="000000"/>
                <w:sz w:val="22"/>
                <w:szCs w:val="22"/>
              </w:rPr>
            </w:pPr>
            <w:r>
              <w:rPr>
                <w:rFonts w:ascii="Calibri" w:hAnsi="Calibri" w:cs="Calibri"/>
                <w:color w:val="000000"/>
                <w:sz w:val="22"/>
                <w:szCs w:val="22"/>
              </w:rPr>
              <w:t>13</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8</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25</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31F11" w:rsidRDefault="00C31F11">
            <w:pPr>
              <w:jc w:val="right"/>
              <w:rPr>
                <w:rFonts w:ascii="Calibri" w:hAnsi="Calibri" w:cs="Calibri"/>
                <w:color w:val="000000"/>
                <w:sz w:val="22"/>
                <w:szCs w:val="22"/>
              </w:rPr>
            </w:pPr>
            <w:r>
              <w:rPr>
                <w:rFonts w:ascii="Calibri" w:hAnsi="Calibri" w:cs="Calibri"/>
                <w:color w:val="000000"/>
                <w:sz w:val="22"/>
                <w:szCs w:val="22"/>
              </w:rPr>
              <w:t>34</w:t>
            </w:r>
          </w:p>
        </w:tc>
      </w:tr>
    </w:tbl>
    <w:p w:rsidR="00C31F11" w:rsidRDefault="00C31F11" w:rsidP="00C31F11">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873670" w:rsidRDefault="00873670"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F3746F" w:rsidRDefault="00F3746F"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C31F11" w:rsidRDefault="00C31F11" w:rsidP="00597CCA">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Satisfaction with life – All Respondents</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Very satisfied</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r>
      <w:tr w:rsidR="004C43A6"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Satisfied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r>
      <w:tr w:rsidR="004C43A6"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Neither satisfied nor dissatisfied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r>
      <w:tr w:rsidR="004C43A6" w:rsidRPr="00462493" w:rsidTr="004F1DAE">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Dissatisfied / Very dissatisfied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r>
    </w:tbl>
    <w:p w:rsidR="004C43A6" w:rsidRPr="00F642CF" w:rsidRDefault="004C43A6" w:rsidP="004C43A6">
      <w:pPr>
        <w:tabs>
          <w:tab w:val="center" w:pos="4075"/>
        </w:tabs>
        <w:autoSpaceDE w:val="0"/>
        <w:autoSpaceDN w:val="0"/>
        <w:adjustRightInd w:val="0"/>
        <w:rPr>
          <w:rFonts w:asciiTheme="minorHAnsi" w:hAnsiTheme="minorHAnsi" w:cstheme="minorHAnsi"/>
          <w:b/>
          <w:sz w:val="8"/>
          <w:szCs w:val="8"/>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Satisfaction with life –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C43A6" w:rsidRPr="00EB5B0E" w:rsidTr="004F1DA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RPr="00462493" w:rsidTr="004F1DA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RPr="00462493" w:rsidTr="004F1DAE">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Very satisfied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r>
      <w:tr w:rsidR="004C43A6" w:rsidRPr="00462493" w:rsidTr="004F1DA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Satisfied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r>
      <w:tr w:rsidR="004C43A6" w:rsidRPr="00462493" w:rsidTr="004F1DA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Neither satisfied nor dissatisfied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r>
      <w:tr w:rsidR="004C43A6" w:rsidRPr="00462493" w:rsidTr="004F1DAE">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Dissatisfied / Very dissatisfied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r>
    </w:tbl>
    <w:p w:rsidR="004C43A6" w:rsidRPr="00F642CF" w:rsidRDefault="004C43A6" w:rsidP="004C43A6">
      <w:pPr>
        <w:tabs>
          <w:tab w:val="center" w:pos="4075"/>
        </w:tabs>
        <w:autoSpaceDE w:val="0"/>
        <w:autoSpaceDN w:val="0"/>
        <w:adjustRightInd w:val="0"/>
        <w:rPr>
          <w:rFonts w:asciiTheme="minorHAnsi" w:hAnsiTheme="minorHAnsi" w:cstheme="minorHAnsi"/>
          <w:b/>
          <w:sz w:val="8"/>
          <w:szCs w:val="8"/>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Satisfaction with life –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C43A6" w:rsidRPr="00EB5B0E" w:rsidTr="004F1DA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4F1DA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Tr="004F1DAE">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Very satisfied</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42</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r>
      <w:tr w:rsidR="004C43A6" w:rsidTr="004F1DA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Satisfied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57</w:t>
            </w:r>
          </w:p>
        </w:tc>
      </w:tr>
      <w:tr w:rsidR="004C43A6" w:rsidTr="004F1DA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Neither satisfied nor dissatisfied</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r>
      <w:tr w:rsidR="004C43A6" w:rsidTr="004F1DAE">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Dissatisfied / Very dissatisfied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555E2B" w:rsidRDefault="00555E2B" w:rsidP="004C43A6">
      <w:pPr>
        <w:tabs>
          <w:tab w:val="center" w:pos="4075"/>
        </w:tabs>
        <w:autoSpaceDE w:val="0"/>
        <w:autoSpaceDN w:val="0"/>
        <w:adjustRightInd w:val="0"/>
        <w:rPr>
          <w:rFonts w:asciiTheme="minorHAnsi" w:hAnsiTheme="minorHAnsi" w:cstheme="minorHAnsi"/>
          <w:b/>
          <w:sz w:val="22"/>
          <w:szCs w:val="22"/>
        </w:rPr>
      </w:pPr>
    </w:p>
    <w:p w:rsidR="00B779DB" w:rsidRDefault="00B779DB" w:rsidP="00B779DB">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High Blood Pressure – All Respondents</w:t>
      </w:r>
    </w:p>
    <w:tbl>
      <w:tblPr>
        <w:tblW w:w="14507" w:type="dxa"/>
        <w:tblInd w:w="93" w:type="dxa"/>
        <w:tblLook w:val="04A0" w:firstRow="1" w:lastRow="0" w:firstColumn="1" w:lastColumn="0" w:noHBand="0" w:noVBand="1"/>
      </w:tblPr>
      <w:tblGrid>
        <w:gridCol w:w="1195"/>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5"/>
      </w:tblGrid>
      <w:tr w:rsidR="00B779DB" w:rsidRPr="00EB5B0E" w:rsidTr="001371B8">
        <w:trPr>
          <w:trHeight w:val="227"/>
        </w:trPr>
        <w:tc>
          <w:tcPr>
            <w:tcW w:w="119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B779DB" w:rsidRPr="00BE1A84" w:rsidRDefault="00B779DB" w:rsidP="001371B8">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953661" w:rsidRDefault="00B779DB" w:rsidP="001371B8">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EB5B0E" w:rsidRDefault="00B779DB" w:rsidP="001371B8">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E34B2" w:rsidRDefault="00B779DB" w:rsidP="001371B8">
            <w:pPr>
              <w:jc w:val="center"/>
              <w:rPr>
                <w:rFonts w:ascii="Calibri" w:hAnsi="Calibri" w:cs="Calibri"/>
                <w:b/>
                <w:bCs/>
                <w:color w:val="000000"/>
                <w:sz w:val="19"/>
                <w:szCs w:val="19"/>
                <w:lang w:eastAsia="en-GB"/>
              </w:rPr>
            </w:pPr>
            <w:r w:rsidRPr="004E34B2">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EB5B0E" w:rsidRDefault="00B779DB" w:rsidP="001371B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EB5B0E" w:rsidRDefault="00B779DB" w:rsidP="001371B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B779DB" w:rsidRPr="00EB5B0E" w:rsidRDefault="00B779DB" w:rsidP="001371B8">
            <w:pPr>
              <w:jc w:val="center"/>
              <w:rPr>
                <w:rFonts w:ascii="Calibri" w:hAnsi="Calibri" w:cs="Calibri"/>
                <w:b/>
                <w:bCs/>
                <w:color w:val="000000"/>
                <w:lang w:eastAsia="en-GB"/>
              </w:rPr>
            </w:pPr>
            <w:r>
              <w:rPr>
                <w:rFonts w:ascii="Calibri" w:hAnsi="Calibri" w:cs="Calibri"/>
                <w:b/>
                <w:bCs/>
                <w:color w:val="000000"/>
                <w:lang w:eastAsia="en-GB"/>
              </w:rPr>
              <w:t>Age</w:t>
            </w:r>
          </w:p>
        </w:tc>
      </w:tr>
      <w:tr w:rsidR="00B779DB" w:rsidTr="001371B8">
        <w:trPr>
          <w:trHeight w:val="540"/>
        </w:trPr>
        <w:tc>
          <w:tcPr>
            <w:tcW w:w="1195"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B779DB" w:rsidRPr="00462493" w:rsidRDefault="00B779DB" w:rsidP="001371B8">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B779DB" w:rsidRPr="00462493" w:rsidRDefault="00B779DB" w:rsidP="001371B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65-74</w:t>
            </w:r>
          </w:p>
        </w:tc>
        <w:tc>
          <w:tcPr>
            <w:tcW w:w="445"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B779DB" w:rsidRDefault="00B779DB" w:rsidP="001371B8">
            <w:pPr>
              <w:rPr>
                <w:rFonts w:ascii="Calibri" w:hAnsi="Calibri" w:cs="Calibri"/>
                <w:b/>
                <w:bCs/>
                <w:color w:val="000000"/>
              </w:rPr>
            </w:pPr>
            <w:r>
              <w:rPr>
                <w:rFonts w:ascii="Calibri" w:hAnsi="Calibri" w:cs="Calibri"/>
                <w:b/>
                <w:bCs/>
                <w:color w:val="000000"/>
              </w:rPr>
              <w:t>75+</w:t>
            </w:r>
          </w:p>
        </w:tc>
      </w:tr>
      <w:tr w:rsidR="00B779DB" w:rsidTr="00B779DB">
        <w:trPr>
          <w:trHeight w:val="300"/>
        </w:trPr>
        <w:tc>
          <w:tcPr>
            <w:tcW w:w="119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B779DB" w:rsidRDefault="00B779DB" w:rsidP="00977928">
            <w:pPr>
              <w:jc w:val="left"/>
              <w:rPr>
                <w:rFonts w:ascii="Calibri" w:hAnsi="Calibri" w:cs="Calibri"/>
                <w:b/>
                <w:bCs/>
                <w:color w:val="000000"/>
              </w:rPr>
            </w:pPr>
            <w:r>
              <w:rPr>
                <w:rFonts w:ascii="Calibri" w:hAnsi="Calibri" w:cs="Calibri"/>
                <w:b/>
                <w:bCs/>
                <w:color w:val="000000"/>
              </w:rPr>
              <w:t>High blood pressure</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27</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26</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27</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28</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25</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28</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27</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25</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27</w:t>
            </w:r>
          </w:p>
        </w:tc>
        <w:tc>
          <w:tcPr>
            <w:tcW w:w="440" w:type="dxa"/>
            <w:gridSpan w:val="2"/>
            <w:tcBorders>
              <w:top w:val="single" w:sz="12" w:space="0" w:color="auto"/>
              <w:left w:val="nil"/>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50</w:t>
            </w:r>
          </w:p>
        </w:tc>
        <w:tc>
          <w:tcPr>
            <w:tcW w:w="44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bottom"/>
          </w:tcPr>
          <w:p w:rsidR="00B779DB" w:rsidRDefault="00B779DB" w:rsidP="001371B8">
            <w:pPr>
              <w:jc w:val="right"/>
              <w:rPr>
                <w:rFonts w:ascii="Calibri" w:hAnsi="Calibri" w:cs="Calibri"/>
                <w:color w:val="000000"/>
                <w:sz w:val="22"/>
                <w:szCs w:val="22"/>
              </w:rPr>
            </w:pPr>
            <w:r>
              <w:rPr>
                <w:rFonts w:ascii="Calibri" w:hAnsi="Calibri" w:cs="Calibri"/>
                <w:color w:val="000000"/>
                <w:sz w:val="22"/>
                <w:szCs w:val="22"/>
              </w:rPr>
              <w:t>56</w:t>
            </w:r>
          </w:p>
        </w:tc>
      </w:tr>
    </w:tbl>
    <w:p w:rsidR="00B779DB" w:rsidRDefault="00B779DB" w:rsidP="00712127">
      <w:pPr>
        <w:tabs>
          <w:tab w:val="center" w:pos="4075"/>
        </w:tabs>
        <w:autoSpaceDE w:val="0"/>
        <w:autoSpaceDN w:val="0"/>
        <w:adjustRightInd w:val="0"/>
        <w:rPr>
          <w:rFonts w:asciiTheme="minorHAnsi" w:hAnsiTheme="minorHAnsi" w:cstheme="minorHAnsi"/>
          <w:b/>
          <w:sz w:val="22"/>
          <w:szCs w:val="22"/>
        </w:rPr>
      </w:pPr>
    </w:p>
    <w:p w:rsidR="00712127" w:rsidRPr="00AC756F" w:rsidRDefault="00712127" w:rsidP="00AC756F">
      <w:pPr>
        <w:pStyle w:val="Heading3"/>
        <w:spacing w:before="0"/>
        <w:rPr>
          <w:rFonts w:asciiTheme="minorHAnsi" w:hAnsiTheme="minorHAnsi" w:cstheme="minorHAnsi"/>
          <w:color w:val="auto"/>
          <w:sz w:val="22"/>
          <w:szCs w:val="22"/>
        </w:rPr>
      </w:pPr>
      <w:bookmarkStart w:id="62" w:name="_Ref381946625"/>
      <w:r w:rsidRPr="00AC756F">
        <w:rPr>
          <w:rFonts w:asciiTheme="minorHAnsi" w:hAnsiTheme="minorHAnsi" w:cstheme="minorHAnsi"/>
          <w:color w:val="auto"/>
          <w:sz w:val="22"/>
          <w:szCs w:val="22"/>
        </w:rPr>
        <w:t>Conditions Doctor Told Respondents They Had – All Respondents</w:t>
      </w:r>
      <w:bookmarkEnd w:id="62"/>
    </w:p>
    <w:tbl>
      <w:tblPr>
        <w:tblW w:w="14507" w:type="dxa"/>
        <w:tblInd w:w="93" w:type="dxa"/>
        <w:tblLook w:val="04A0" w:firstRow="1" w:lastRow="0" w:firstColumn="1" w:lastColumn="0" w:noHBand="0" w:noVBand="1"/>
      </w:tblPr>
      <w:tblGrid>
        <w:gridCol w:w="1195"/>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5"/>
      </w:tblGrid>
      <w:tr w:rsidR="00712127" w:rsidRPr="00EB5B0E" w:rsidTr="00712127">
        <w:trPr>
          <w:trHeight w:val="227"/>
        </w:trPr>
        <w:tc>
          <w:tcPr>
            <w:tcW w:w="119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712127" w:rsidRPr="00BE1A84" w:rsidRDefault="00712127" w:rsidP="001371B8">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953661" w:rsidRDefault="00712127" w:rsidP="001371B8">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EB5B0E" w:rsidRDefault="00712127" w:rsidP="001371B8">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E34B2" w:rsidRDefault="00712127" w:rsidP="001371B8">
            <w:pPr>
              <w:jc w:val="center"/>
              <w:rPr>
                <w:rFonts w:ascii="Calibri" w:hAnsi="Calibri" w:cs="Calibri"/>
                <w:b/>
                <w:bCs/>
                <w:color w:val="000000"/>
                <w:sz w:val="19"/>
                <w:szCs w:val="19"/>
                <w:lang w:eastAsia="en-GB"/>
              </w:rPr>
            </w:pPr>
            <w:r w:rsidRPr="004E34B2">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EB5B0E" w:rsidRDefault="00712127" w:rsidP="001371B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EB5B0E" w:rsidRDefault="00712127" w:rsidP="001371B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712127" w:rsidRPr="00EB5B0E" w:rsidRDefault="00712127" w:rsidP="001371B8">
            <w:pPr>
              <w:jc w:val="center"/>
              <w:rPr>
                <w:rFonts w:ascii="Calibri" w:hAnsi="Calibri" w:cs="Calibri"/>
                <w:b/>
                <w:bCs/>
                <w:color w:val="000000"/>
                <w:lang w:eastAsia="en-GB"/>
              </w:rPr>
            </w:pPr>
            <w:r>
              <w:rPr>
                <w:rFonts w:ascii="Calibri" w:hAnsi="Calibri" w:cs="Calibri"/>
                <w:b/>
                <w:bCs/>
                <w:color w:val="000000"/>
                <w:lang w:eastAsia="en-GB"/>
              </w:rPr>
              <w:t>Age</w:t>
            </w:r>
          </w:p>
        </w:tc>
      </w:tr>
      <w:tr w:rsidR="00712127" w:rsidTr="001371B8">
        <w:trPr>
          <w:trHeight w:val="540"/>
        </w:trPr>
        <w:tc>
          <w:tcPr>
            <w:tcW w:w="1195"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12127" w:rsidRPr="00462493" w:rsidRDefault="00712127" w:rsidP="001371B8">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Pr="00462493" w:rsidRDefault="00712127" w:rsidP="001371B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65-74</w:t>
            </w:r>
          </w:p>
        </w:tc>
        <w:tc>
          <w:tcPr>
            <w:tcW w:w="445"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712127" w:rsidRDefault="00712127" w:rsidP="001371B8">
            <w:pPr>
              <w:rPr>
                <w:rFonts w:ascii="Calibri" w:hAnsi="Calibri" w:cs="Calibri"/>
                <w:b/>
                <w:bCs/>
                <w:color w:val="000000"/>
              </w:rPr>
            </w:pPr>
            <w:r>
              <w:rPr>
                <w:rFonts w:ascii="Calibri" w:hAnsi="Calibri" w:cs="Calibri"/>
                <w:b/>
                <w:bCs/>
                <w:color w:val="000000"/>
              </w:rPr>
              <w:t>75+</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Asthma</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rsidP="00712127">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11</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13</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COPD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8</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8</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Angina</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17</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Heart attack</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7</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Heart murmur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Other heart condition</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9</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15</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Stroke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8</w:t>
            </w:r>
          </w:p>
        </w:tc>
      </w:tr>
      <w:tr w:rsidR="00712127" w:rsidTr="001371B8">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Diabetes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nil"/>
              <w:left w:val="nil"/>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12</w:t>
            </w:r>
          </w:p>
        </w:tc>
        <w:tc>
          <w:tcPr>
            <w:tcW w:w="445" w:type="dxa"/>
            <w:tcBorders>
              <w:top w:val="nil"/>
              <w:left w:val="single" w:sz="4" w:space="0" w:color="auto"/>
              <w:bottom w:val="single" w:sz="4"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13</w:t>
            </w:r>
          </w:p>
        </w:tc>
      </w:tr>
      <w:tr w:rsidR="005C4899" w:rsidTr="005C4899">
        <w:trPr>
          <w:trHeight w:val="300"/>
        </w:trPr>
        <w:tc>
          <w:tcPr>
            <w:tcW w:w="1195"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12127" w:rsidRDefault="00712127" w:rsidP="00977928">
            <w:pPr>
              <w:jc w:val="left"/>
              <w:rPr>
                <w:rFonts w:ascii="Calibri" w:hAnsi="Calibri" w:cs="Calibri"/>
                <w:b/>
                <w:bCs/>
                <w:color w:val="000000"/>
              </w:rPr>
            </w:pPr>
            <w:r>
              <w:rPr>
                <w:rFonts w:ascii="Calibri" w:hAnsi="Calibri" w:cs="Calibri"/>
                <w:b/>
                <w:bCs/>
                <w:color w:val="000000"/>
              </w:rPr>
              <w:t>Cancer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12127" w:rsidRDefault="00712127">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nil"/>
              <w:left w:val="nil"/>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10</w:t>
            </w:r>
          </w:p>
        </w:tc>
        <w:tc>
          <w:tcPr>
            <w:tcW w:w="445" w:type="dxa"/>
            <w:tcBorders>
              <w:top w:val="nil"/>
              <w:left w:val="single" w:sz="4" w:space="0" w:color="auto"/>
              <w:bottom w:val="single" w:sz="12" w:space="0" w:color="auto"/>
              <w:right w:val="single" w:sz="12" w:space="0" w:color="auto"/>
            </w:tcBorders>
            <w:shd w:val="clear" w:color="auto" w:fill="F2F2F2" w:themeFill="background1" w:themeFillShade="F2"/>
            <w:vAlign w:val="bottom"/>
          </w:tcPr>
          <w:p w:rsidR="00712127" w:rsidRDefault="00712127">
            <w:pPr>
              <w:jc w:val="right"/>
              <w:rPr>
                <w:rFonts w:ascii="Calibri" w:hAnsi="Calibri" w:cs="Calibri"/>
                <w:color w:val="000000"/>
                <w:sz w:val="22"/>
                <w:szCs w:val="22"/>
              </w:rPr>
            </w:pPr>
            <w:r>
              <w:rPr>
                <w:rFonts w:ascii="Calibri" w:hAnsi="Calibri" w:cs="Calibri"/>
                <w:color w:val="000000"/>
                <w:sz w:val="22"/>
                <w:szCs w:val="22"/>
              </w:rPr>
              <w:t>8</w:t>
            </w:r>
          </w:p>
        </w:tc>
      </w:tr>
      <w:tr w:rsidR="005C4899" w:rsidTr="005C4899">
        <w:trPr>
          <w:trHeight w:val="300"/>
        </w:trPr>
        <w:tc>
          <w:tcPr>
            <w:tcW w:w="119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C4899" w:rsidRDefault="005C4899" w:rsidP="00977928">
            <w:pPr>
              <w:jc w:val="left"/>
              <w:rPr>
                <w:rFonts w:ascii="Calibri" w:hAnsi="Calibri" w:cs="Calibri"/>
                <w:b/>
                <w:bCs/>
                <w:color w:val="000000"/>
              </w:rPr>
            </w:pPr>
            <w:r>
              <w:rPr>
                <w:rFonts w:ascii="Calibri" w:hAnsi="Calibri" w:cs="Calibri"/>
                <w:b/>
                <w:bCs/>
                <w:color w:val="000000"/>
              </w:rPr>
              <w:t>None of the above disorders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71</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69</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72</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69</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73</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71</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71</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71</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5C4899" w:rsidRDefault="005C4899">
            <w:pPr>
              <w:jc w:val="right"/>
              <w:rPr>
                <w:rFonts w:ascii="Calibri" w:hAnsi="Calibri" w:cs="Calibri"/>
                <w:color w:val="000000"/>
                <w:sz w:val="22"/>
                <w:szCs w:val="22"/>
              </w:rPr>
            </w:pPr>
            <w:r>
              <w:rPr>
                <w:rFonts w:ascii="Calibri" w:hAnsi="Calibri" w:cs="Calibri"/>
                <w:color w:val="000000"/>
                <w:sz w:val="22"/>
                <w:szCs w:val="22"/>
              </w:rPr>
              <w:t>70</w:t>
            </w:r>
          </w:p>
        </w:tc>
        <w:tc>
          <w:tcPr>
            <w:tcW w:w="440" w:type="dxa"/>
            <w:gridSpan w:val="2"/>
            <w:tcBorders>
              <w:top w:val="single" w:sz="12" w:space="0" w:color="auto"/>
              <w:left w:val="nil"/>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49</w:t>
            </w:r>
          </w:p>
        </w:tc>
        <w:tc>
          <w:tcPr>
            <w:tcW w:w="44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bottom"/>
          </w:tcPr>
          <w:p w:rsidR="005C4899" w:rsidRDefault="005C4899">
            <w:pPr>
              <w:jc w:val="right"/>
              <w:rPr>
                <w:rFonts w:ascii="Calibri" w:hAnsi="Calibri" w:cs="Calibri"/>
                <w:color w:val="000000"/>
                <w:sz w:val="22"/>
                <w:szCs w:val="22"/>
              </w:rPr>
            </w:pPr>
            <w:r>
              <w:rPr>
                <w:rFonts w:ascii="Calibri" w:hAnsi="Calibri" w:cs="Calibri"/>
                <w:color w:val="000000"/>
                <w:sz w:val="22"/>
                <w:szCs w:val="22"/>
              </w:rPr>
              <w:t>38</w:t>
            </w:r>
          </w:p>
        </w:tc>
      </w:tr>
    </w:tbl>
    <w:p w:rsidR="00712127" w:rsidRDefault="00712127" w:rsidP="00712127">
      <w:pPr>
        <w:tabs>
          <w:tab w:val="center" w:pos="4075"/>
        </w:tabs>
        <w:autoSpaceDE w:val="0"/>
        <w:autoSpaceDN w:val="0"/>
        <w:adjustRightInd w:val="0"/>
        <w:rPr>
          <w:rFonts w:asciiTheme="minorHAnsi" w:hAnsiTheme="minorHAnsi" w:cstheme="minorHAnsi"/>
          <w:b/>
          <w:sz w:val="22"/>
          <w:szCs w:val="22"/>
        </w:rPr>
      </w:pPr>
    </w:p>
    <w:p w:rsidR="00712127" w:rsidRDefault="00712127" w:rsidP="00712127">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AB341A" w:rsidRDefault="00AB341A" w:rsidP="00093078">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B779DB" w:rsidRDefault="00B779DB" w:rsidP="00093078">
      <w:pPr>
        <w:tabs>
          <w:tab w:val="center" w:pos="4075"/>
        </w:tabs>
        <w:autoSpaceDE w:val="0"/>
        <w:autoSpaceDN w:val="0"/>
        <w:adjustRightInd w:val="0"/>
        <w:rPr>
          <w:rFonts w:asciiTheme="minorHAnsi" w:hAnsiTheme="minorHAnsi" w:cstheme="minorHAnsi"/>
          <w:b/>
          <w:sz w:val="22"/>
          <w:szCs w:val="22"/>
        </w:rPr>
      </w:pPr>
    </w:p>
    <w:p w:rsidR="00873670" w:rsidRDefault="00873670" w:rsidP="00093078">
      <w:pPr>
        <w:tabs>
          <w:tab w:val="center" w:pos="4075"/>
        </w:tabs>
        <w:autoSpaceDE w:val="0"/>
        <w:autoSpaceDN w:val="0"/>
        <w:adjustRightInd w:val="0"/>
        <w:rPr>
          <w:rFonts w:asciiTheme="minorHAnsi" w:hAnsiTheme="minorHAnsi" w:cstheme="minorHAnsi"/>
          <w:b/>
          <w:sz w:val="22"/>
          <w:szCs w:val="22"/>
        </w:rPr>
      </w:pPr>
    </w:p>
    <w:p w:rsidR="00093078" w:rsidRPr="00AC756F" w:rsidRDefault="00626C3E" w:rsidP="00AC756F">
      <w:pPr>
        <w:pStyle w:val="Heading3"/>
        <w:spacing w:before="0"/>
        <w:rPr>
          <w:rFonts w:asciiTheme="minorHAnsi" w:hAnsiTheme="minorHAnsi" w:cstheme="minorHAnsi"/>
          <w:color w:val="auto"/>
          <w:sz w:val="22"/>
          <w:szCs w:val="22"/>
        </w:rPr>
      </w:pPr>
      <w:bookmarkStart w:id="63" w:name="_Ref381946631"/>
      <w:r w:rsidRPr="00AC756F">
        <w:rPr>
          <w:rFonts w:asciiTheme="minorHAnsi" w:hAnsiTheme="minorHAnsi" w:cstheme="minorHAnsi"/>
          <w:color w:val="auto"/>
          <w:sz w:val="22"/>
          <w:szCs w:val="22"/>
        </w:rPr>
        <w:t>Longstanding Illness</w:t>
      </w:r>
      <w:r w:rsidR="00093078" w:rsidRPr="00AC756F">
        <w:rPr>
          <w:rFonts w:asciiTheme="minorHAnsi" w:hAnsiTheme="minorHAnsi" w:cstheme="minorHAnsi"/>
          <w:color w:val="auto"/>
          <w:sz w:val="22"/>
          <w:szCs w:val="22"/>
        </w:rPr>
        <w:t xml:space="preserve"> – All Respondents</w:t>
      </w:r>
      <w:bookmarkEnd w:id="63"/>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093078" w:rsidRPr="00EB5B0E" w:rsidTr="00093078">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093078" w:rsidRPr="00BE1A84" w:rsidRDefault="00093078" w:rsidP="00093078">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093078" w:rsidRPr="00953661" w:rsidRDefault="00093078" w:rsidP="00093078">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093078" w:rsidRPr="00462493" w:rsidTr="00221DC7">
        <w:trPr>
          <w:trHeight w:val="454"/>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093078" w:rsidRPr="00462493" w:rsidRDefault="00093078" w:rsidP="00093078">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26C3E" w:rsidRPr="00462493" w:rsidTr="00221DC7">
        <w:trPr>
          <w:trHeight w:val="227"/>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26C3E" w:rsidRDefault="00626C3E" w:rsidP="00626C3E">
            <w:pPr>
              <w:rPr>
                <w:rFonts w:ascii="Calibri" w:hAnsi="Calibri" w:cs="Calibri"/>
                <w:b/>
                <w:bCs/>
                <w:color w:val="000000"/>
              </w:rPr>
            </w:pPr>
            <w:r>
              <w:rPr>
                <w:rFonts w:ascii="Calibri" w:hAnsi="Calibri" w:cs="Calibri"/>
                <w:b/>
                <w:bCs/>
                <w:color w:val="000000"/>
              </w:rPr>
              <w:t>Has longstanding illness</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37</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35</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38</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39</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41</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35</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35</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34</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41</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46</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40</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33</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33</w:t>
            </w:r>
          </w:p>
        </w:tc>
      </w:tr>
      <w:tr w:rsidR="00626C3E" w:rsidRPr="00462493" w:rsidTr="00221DC7">
        <w:trPr>
          <w:trHeight w:val="227"/>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626C3E" w:rsidRDefault="00626C3E" w:rsidP="00626C3E">
            <w:pPr>
              <w:rPr>
                <w:rFonts w:ascii="Calibri" w:hAnsi="Calibri" w:cs="Calibri"/>
                <w:b/>
                <w:bCs/>
                <w:color w:val="000000"/>
              </w:rPr>
            </w:pPr>
            <w:r>
              <w:rPr>
                <w:rFonts w:ascii="Calibri" w:hAnsi="Calibri" w:cs="Calibri"/>
                <w:b/>
                <w:bCs/>
                <w:color w:val="000000"/>
              </w:rPr>
              <w:t>No longstanding illness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63</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65</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61</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67</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59</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65</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65</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66</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59</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54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60</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67</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rsidP="00626C3E">
            <w:pPr>
              <w:jc w:val="right"/>
              <w:rPr>
                <w:rFonts w:ascii="Calibri" w:hAnsi="Calibri" w:cs="Calibri"/>
                <w:color w:val="000000"/>
              </w:rPr>
            </w:pPr>
            <w:r w:rsidRPr="00AB341A">
              <w:rPr>
                <w:rFonts w:ascii="Calibri" w:hAnsi="Calibri" w:cs="Calibri"/>
                <w:color w:val="000000"/>
              </w:rPr>
              <w:t>67</w:t>
            </w:r>
          </w:p>
        </w:tc>
      </w:tr>
      <w:tr w:rsidR="00626C3E" w:rsidRPr="00462493" w:rsidTr="00221DC7">
        <w:trPr>
          <w:trHeight w:val="227"/>
        </w:trPr>
        <w:tc>
          <w:tcPr>
            <w:tcW w:w="13877" w:type="dxa"/>
            <w:gridSpan w:val="16"/>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626C3E" w:rsidRPr="00AB341A" w:rsidRDefault="00626C3E" w:rsidP="00626C3E">
            <w:pPr>
              <w:rPr>
                <w:rFonts w:ascii="Calibri" w:hAnsi="Calibri" w:cs="Calibri"/>
                <w:color w:val="000000"/>
              </w:rPr>
            </w:pPr>
            <w:r w:rsidRPr="00AB341A">
              <w:rPr>
                <w:rFonts w:ascii="Calibri" w:hAnsi="Calibri" w:cs="Calibri"/>
                <w:b/>
                <w:bCs/>
                <w:color w:val="000000"/>
              </w:rPr>
              <w:t>Of those with longstanding illness:  Does illness reduce ability to carry out day-to-day activities?</w:t>
            </w:r>
          </w:p>
        </w:tc>
      </w:tr>
      <w:tr w:rsidR="00626C3E" w:rsidRPr="00462493" w:rsidTr="00221DC7">
        <w:trPr>
          <w:trHeight w:val="227"/>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26C3E" w:rsidRDefault="00626C3E">
            <w:pPr>
              <w:rPr>
                <w:rFonts w:ascii="Calibri" w:hAnsi="Calibri" w:cs="Calibri"/>
                <w:b/>
                <w:bCs/>
                <w:color w:val="000000"/>
              </w:rPr>
            </w:pPr>
            <w:r>
              <w:rPr>
                <w:rFonts w:ascii="Calibri" w:hAnsi="Calibri" w:cs="Calibri"/>
                <w:b/>
                <w:bCs/>
                <w:color w:val="000000"/>
              </w:rPr>
              <w:t>Yes, a lot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40</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39</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40</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43</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41</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36</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37</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47</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38</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52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41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35</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29</w:t>
            </w:r>
          </w:p>
        </w:tc>
      </w:tr>
      <w:tr w:rsidR="00626C3E" w:rsidRPr="00462493" w:rsidTr="00221DC7">
        <w:trPr>
          <w:trHeight w:val="227"/>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26C3E" w:rsidRDefault="00626C3E">
            <w:pPr>
              <w:rPr>
                <w:rFonts w:ascii="Calibri" w:hAnsi="Calibri" w:cs="Calibri"/>
                <w:b/>
                <w:bCs/>
                <w:color w:val="000000"/>
              </w:rPr>
            </w:pPr>
            <w:r>
              <w:rPr>
                <w:rFonts w:ascii="Calibri" w:hAnsi="Calibri" w:cs="Calibri"/>
                <w:b/>
                <w:bCs/>
                <w:color w:val="000000"/>
              </w:rPr>
              <w:t>Yes, a little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32</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30</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35</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31</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34</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32</w:t>
            </w:r>
          </w:p>
        </w:tc>
      </w:tr>
      <w:tr w:rsidR="00626C3E" w:rsidRPr="00462493" w:rsidTr="00221DC7">
        <w:trPr>
          <w:trHeight w:val="227"/>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626C3E" w:rsidRDefault="00626C3E">
            <w:pPr>
              <w:rPr>
                <w:rFonts w:ascii="Calibri" w:hAnsi="Calibri" w:cs="Calibri"/>
                <w:b/>
                <w:bCs/>
                <w:color w:val="000000"/>
              </w:rPr>
            </w:pPr>
            <w:r>
              <w:rPr>
                <w:rFonts w:ascii="Calibri" w:hAnsi="Calibri" w:cs="Calibri"/>
                <w:b/>
                <w:bCs/>
                <w:color w:val="000000"/>
              </w:rPr>
              <w:t>Not at all</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28</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31</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26</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26</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32</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28</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29</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29</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25</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27</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19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29</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39</w:t>
            </w:r>
          </w:p>
        </w:tc>
      </w:tr>
      <w:tr w:rsidR="00626C3E" w:rsidRPr="00462493" w:rsidTr="00221DC7">
        <w:trPr>
          <w:trHeight w:val="227"/>
        </w:trPr>
        <w:tc>
          <w:tcPr>
            <w:tcW w:w="13877" w:type="dxa"/>
            <w:gridSpan w:val="16"/>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626C3E" w:rsidRPr="00AB341A" w:rsidRDefault="00626C3E" w:rsidP="00626C3E">
            <w:pPr>
              <w:rPr>
                <w:rFonts w:ascii="Calibri" w:hAnsi="Calibri" w:cs="Calibri"/>
                <w:b/>
                <w:bCs/>
                <w:color w:val="000000"/>
              </w:rPr>
            </w:pPr>
            <w:r w:rsidRPr="00AB341A">
              <w:rPr>
                <w:rFonts w:ascii="Calibri" w:hAnsi="Calibri" w:cs="Calibri"/>
                <w:b/>
                <w:bCs/>
                <w:color w:val="000000"/>
              </w:rPr>
              <w:t>Of those whose longstanding illness was limiting: Length of time ability to carry out day-to-day activities has been reduced:</w:t>
            </w:r>
          </w:p>
        </w:tc>
      </w:tr>
      <w:tr w:rsidR="00626C3E" w:rsidRPr="00462493" w:rsidTr="00221DC7">
        <w:trPr>
          <w:trHeight w:val="227"/>
        </w:trPr>
        <w:tc>
          <w:tcPr>
            <w:tcW w:w="23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26C3E" w:rsidRDefault="00626C3E">
            <w:pPr>
              <w:rPr>
                <w:rFonts w:ascii="Calibri" w:hAnsi="Calibri" w:cs="Calibri"/>
                <w:b/>
                <w:bCs/>
                <w:color w:val="000000"/>
              </w:rPr>
            </w:pPr>
            <w:r>
              <w:rPr>
                <w:rFonts w:ascii="Calibri" w:hAnsi="Calibri" w:cs="Calibri"/>
                <w:b/>
                <w:bCs/>
                <w:color w:val="000000"/>
              </w:rPr>
              <w:t>For 12 months or more</w:t>
            </w:r>
          </w:p>
        </w:tc>
        <w:tc>
          <w:tcPr>
            <w:tcW w:w="8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64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820"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73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90</w:t>
            </w:r>
          </w:p>
        </w:tc>
        <w:tc>
          <w:tcPr>
            <w:tcW w:w="655"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87</w:t>
            </w:r>
          </w:p>
        </w:tc>
        <w:tc>
          <w:tcPr>
            <w:tcW w:w="79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90</w:t>
            </w:r>
          </w:p>
        </w:tc>
        <w:tc>
          <w:tcPr>
            <w:tcW w:w="983"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84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982"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92</w:t>
            </w:r>
          </w:p>
        </w:tc>
        <w:tc>
          <w:tcPr>
            <w:tcW w:w="927"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85</w:t>
            </w:r>
          </w:p>
        </w:tc>
        <w:tc>
          <w:tcPr>
            <w:tcW w:w="973"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90</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88</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91</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89</w:t>
            </w:r>
          </w:p>
        </w:tc>
        <w:tc>
          <w:tcPr>
            <w:tcW w:w="97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26C3E" w:rsidRPr="00AB341A" w:rsidRDefault="00626C3E">
            <w:pPr>
              <w:jc w:val="right"/>
              <w:rPr>
                <w:rFonts w:ascii="Calibri" w:hAnsi="Calibri" w:cs="Calibri"/>
                <w:color w:val="000000"/>
              </w:rPr>
            </w:pPr>
            <w:r w:rsidRPr="00AB341A">
              <w:rPr>
                <w:rFonts w:ascii="Calibri" w:hAnsi="Calibri" w:cs="Calibri"/>
                <w:color w:val="000000"/>
              </w:rPr>
              <w:t>87</w:t>
            </w:r>
          </w:p>
        </w:tc>
      </w:tr>
    </w:tbl>
    <w:p w:rsidR="00093078" w:rsidRDefault="00221DC7" w:rsidP="0024600E">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 xml:space="preserve">Longstanding Illness </w:t>
      </w:r>
      <w:r w:rsidR="00093078">
        <w:rPr>
          <w:rFonts w:asciiTheme="minorHAnsi" w:hAnsiTheme="minorHAnsi" w:cstheme="minorHAnsi"/>
          <w:b/>
          <w:sz w:val="22"/>
          <w:szCs w:val="22"/>
        </w:rPr>
        <w:t>–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093078" w:rsidRPr="00EB5B0E" w:rsidTr="00093078">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093078" w:rsidRPr="00BE1A84" w:rsidRDefault="00093078" w:rsidP="00093078">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093078" w:rsidRPr="00EB5B0E" w:rsidRDefault="00093078" w:rsidP="00093078">
            <w:pPr>
              <w:jc w:val="center"/>
              <w:rPr>
                <w:rFonts w:ascii="Calibri" w:hAnsi="Calibri" w:cs="Calibri"/>
                <w:b/>
                <w:bCs/>
                <w:color w:val="000000"/>
                <w:lang w:eastAsia="en-GB"/>
              </w:rPr>
            </w:pPr>
            <w:r>
              <w:rPr>
                <w:rFonts w:ascii="Calibri" w:hAnsi="Calibri" w:cs="Calibri"/>
                <w:b/>
                <w:bCs/>
                <w:color w:val="000000"/>
                <w:lang w:eastAsia="en-GB"/>
              </w:rPr>
              <w:t>Age</w:t>
            </w:r>
          </w:p>
        </w:tc>
      </w:tr>
      <w:tr w:rsidR="00093078" w:rsidRPr="00462493" w:rsidTr="00221DC7">
        <w:trPr>
          <w:trHeight w:val="454"/>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093078" w:rsidRPr="00462493" w:rsidRDefault="00093078" w:rsidP="00093078">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75+</w:t>
            </w:r>
          </w:p>
        </w:tc>
      </w:tr>
      <w:tr w:rsidR="00221DC7" w:rsidRPr="00462493" w:rsidTr="00221DC7">
        <w:trPr>
          <w:trHeight w:val="227"/>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221DC7" w:rsidRDefault="00221DC7" w:rsidP="00221DC7">
            <w:pPr>
              <w:rPr>
                <w:rFonts w:ascii="Calibri" w:hAnsi="Calibri" w:cs="Calibri"/>
                <w:b/>
                <w:bCs/>
                <w:color w:val="000000"/>
              </w:rPr>
            </w:pPr>
            <w:r>
              <w:rPr>
                <w:rFonts w:ascii="Calibri" w:hAnsi="Calibri" w:cs="Calibri"/>
                <w:b/>
                <w:bCs/>
                <w:color w:val="000000"/>
              </w:rPr>
              <w:t>Has longstanding illness</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37</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30</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16</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19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27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39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54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59</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68</w:t>
            </w:r>
          </w:p>
        </w:tc>
      </w:tr>
      <w:tr w:rsidR="00221DC7" w:rsidRPr="00462493" w:rsidTr="00221DC7">
        <w:trPr>
          <w:trHeight w:val="227"/>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221DC7" w:rsidRDefault="00221DC7" w:rsidP="00221DC7">
            <w:pPr>
              <w:rPr>
                <w:rFonts w:ascii="Calibri" w:hAnsi="Calibri" w:cs="Calibri"/>
                <w:b/>
                <w:bCs/>
                <w:color w:val="000000"/>
              </w:rPr>
            </w:pPr>
            <w:r>
              <w:rPr>
                <w:rFonts w:ascii="Calibri" w:hAnsi="Calibri" w:cs="Calibri"/>
                <w:b/>
                <w:bCs/>
                <w:color w:val="000000"/>
              </w:rPr>
              <w:t>No longstanding illness</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63</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66</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59</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70</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84</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81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73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61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46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41</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32</w:t>
            </w:r>
          </w:p>
        </w:tc>
      </w:tr>
      <w:tr w:rsidR="00221DC7" w:rsidRPr="00462493" w:rsidTr="00221DC7">
        <w:trPr>
          <w:trHeight w:val="227"/>
        </w:trPr>
        <w:tc>
          <w:tcPr>
            <w:tcW w:w="13909" w:type="dxa"/>
            <w:gridSpan w:val="20"/>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221DC7" w:rsidRPr="00AB341A" w:rsidRDefault="00221DC7" w:rsidP="00221DC7">
            <w:pPr>
              <w:rPr>
                <w:rFonts w:ascii="Calibri" w:hAnsi="Calibri" w:cs="Calibri"/>
                <w:color w:val="000000"/>
              </w:rPr>
            </w:pPr>
            <w:r w:rsidRPr="00AB341A">
              <w:rPr>
                <w:rFonts w:ascii="Calibri" w:hAnsi="Calibri" w:cs="Calibri"/>
                <w:b/>
                <w:bCs/>
                <w:color w:val="000000"/>
              </w:rPr>
              <w:t>Of those with longstanding illness:  Does illness reduce ability to carry out day-to-day activities?</w:t>
            </w:r>
          </w:p>
        </w:tc>
      </w:tr>
      <w:tr w:rsidR="00796E3D" w:rsidRPr="00462493" w:rsidTr="00221DC7">
        <w:trPr>
          <w:trHeight w:val="227"/>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Yes, a lot</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43</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40</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55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28</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19</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15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30</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40</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47</w:t>
            </w:r>
          </w:p>
        </w:tc>
      </w:tr>
      <w:tr w:rsidR="00796E3D" w:rsidRPr="00462493" w:rsidTr="00221DC7">
        <w:trPr>
          <w:trHeight w:val="227"/>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Yes, a little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28</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25</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29</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31</w:t>
            </w:r>
          </w:p>
        </w:tc>
      </w:tr>
      <w:tr w:rsidR="00796E3D" w:rsidRPr="00462493" w:rsidTr="00221DC7">
        <w:trPr>
          <w:trHeight w:val="227"/>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Not at all</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29</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30</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39</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46</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22</w:t>
            </w:r>
          </w:p>
        </w:tc>
      </w:tr>
      <w:tr w:rsidR="00221DC7" w:rsidRPr="00462493" w:rsidTr="00221DC7">
        <w:trPr>
          <w:trHeight w:val="227"/>
        </w:trPr>
        <w:tc>
          <w:tcPr>
            <w:tcW w:w="13909" w:type="dxa"/>
            <w:gridSpan w:val="20"/>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221DC7" w:rsidRPr="00AB341A" w:rsidRDefault="00221DC7" w:rsidP="00221DC7">
            <w:pPr>
              <w:rPr>
                <w:rFonts w:ascii="Calibri" w:hAnsi="Calibri" w:cs="Calibri"/>
                <w:color w:val="000000"/>
              </w:rPr>
            </w:pPr>
            <w:r w:rsidRPr="00AB341A">
              <w:rPr>
                <w:rFonts w:ascii="Calibri" w:hAnsi="Calibri" w:cs="Calibri"/>
                <w:b/>
                <w:bCs/>
                <w:color w:val="000000"/>
              </w:rPr>
              <w:t>Of those whose longstanding illness was limiting: Length of time ability to carry out day-to-day activities has been reduced:</w:t>
            </w:r>
          </w:p>
        </w:tc>
      </w:tr>
      <w:tr w:rsidR="00796E3D" w:rsidRPr="00462493" w:rsidTr="00221DC7">
        <w:trPr>
          <w:trHeight w:val="227"/>
        </w:trPr>
        <w:tc>
          <w:tcPr>
            <w:tcW w:w="239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796E3D" w:rsidRDefault="00796E3D" w:rsidP="00221DC7">
            <w:pPr>
              <w:rPr>
                <w:rFonts w:ascii="Calibri" w:hAnsi="Calibri" w:cs="Calibri"/>
                <w:b/>
                <w:bCs/>
                <w:color w:val="000000"/>
              </w:rPr>
            </w:pPr>
            <w:r>
              <w:rPr>
                <w:rFonts w:ascii="Calibri" w:hAnsi="Calibri" w:cs="Calibri"/>
                <w:b/>
                <w:bCs/>
                <w:color w:val="000000"/>
              </w:rPr>
              <w:t>For 12 months or more</w:t>
            </w:r>
          </w:p>
        </w:tc>
        <w:tc>
          <w:tcPr>
            <w:tcW w:w="669"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90</w:t>
            </w:r>
          </w:p>
        </w:tc>
        <w:tc>
          <w:tcPr>
            <w:tcW w:w="596"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86</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91</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90</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87</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86</w:t>
            </w:r>
          </w:p>
        </w:tc>
        <w:tc>
          <w:tcPr>
            <w:tcW w:w="871"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86</w:t>
            </w:r>
          </w:p>
        </w:tc>
        <w:tc>
          <w:tcPr>
            <w:tcW w:w="452" w:type="dxa"/>
            <w:tcBorders>
              <w:top w:val="single" w:sz="12" w:space="0" w:color="auto"/>
              <w:left w:val="nil"/>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91</w:t>
            </w:r>
          </w:p>
        </w:tc>
        <w:tc>
          <w:tcPr>
            <w:tcW w:w="4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81</w:t>
            </w:r>
          </w:p>
        </w:tc>
        <w:tc>
          <w:tcPr>
            <w:tcW w:w="45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84</w:t>
            </w:r>
          </w:p>
        </w:tc>
        <w:tc>
          <w:tcPr>
            <w:tcW w:w="45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89</w:t>
            </w:r>
          </w:p>
        </w:tc>
        <w:tc>
          <w:tcPr>
            <w:tcW w:w="45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45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93</w:t>
            </w:r>
          </w:p>
        </w:tc>
        <w:tc>
          <w:tcPr>
            <w:tcW w:w="457"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90</w:t>
            </w:r>
          </w:p>
        </w:tc>
      </w:tr>
    </w:tbl>
    <w:p w:rsidR="00093078" w:rsidRDefault="00221DC7" w:rsidP="0024600E">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 xml:space="preserve">Longstanding Illness </w:t>
      </w:r>
      <w:r w:rsidR="00093078">
        <w:rPr>
          <w:rFonts w:asciiTheme="minorHAnsi" w:hAnsiTheme="minorHAnsi" w:cstheme="minorHAnsi"/>
          <w:b/>
          <w:sz w:val="22"/>
          <w:szCs w:val="22"/>
        </w:rPr>
        <w:t>–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093078" w:rsidRPr="00EB5B0E" w:rsidTr="00093078">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093078" w:rsidRPr="00BE1A84" w:rsidRDefault="00093078" w:rsidP="00093078">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093078" w:rsidRPr="00EB5B0E" w:rsidRDefault="00093078" w:rsidP="00093078">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093078" w:rsidRPr="00EB5B0E" w:rsidRDefault="00093078" w:rsidP="00093078">
            <w:pPr>
              <w:jc w:val="center"/>
              <w:rPr>
                <w:rFonts w:ascii="Calibri" w:hAnsi="Calibri" w:cs="Calibri"/>
                <w:b/>
                <w:bCs/>
                <w:color w:val="000000"/>
                <w:lang w:eastAsia="en-GB"/>
              </w:rPr>
            </w:pPr>
            <w:r>
              <w:rPr>
                <w:rFonts w:ascii="Calibri" w:hAnsi="Calibri" w:cs="Calibri"/>
                <w:b/>
                <w:bCs/>
                <w:color w:val="000000"/>
                <w:lang w:eastAsia="en-GB"/>
              </w:rPr>
              <w:t>Age</w:t>
            </w:r>
          </w:p>
        </w:tc>
      </w:tr>
      <w:tr w:rsidR="00093078" w:rsidTr="00221DC7">
        <w:trPr>
          <w:trHeight w:val="454"/>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093078" w:rsidRPr="00462493" w:rsidRDefault="00093078" w:rsidP="00093078">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93078" w:rsidRPr="00462493" w:rsidRDefault="00093078" w:rsidP="00093078">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093078" w:rsidRDefault="00093078" w:rsidP="00093078">
            <w:pPr>
              <w:rPr>
                <w:rFonts w:ascii="Calibri" w:hAnsi="Calibri" w:cs="Calibri"/>
                <w:b/>
                <w:bCs/>
                <w:color w:val="000000"/>
              </w:rPr>
            </w:pPr>
            <w:r>
              <w:rPr>
                <w:rFonts w:ascii="Calibri" w:hAnsi="Calibri" w:cs="Calibri"/>
                <w:b/>
                <w:bCs/>
                <w:color w:val="000000"/>
              </w:rPr>
              <w:t>75+</w:t>
            </w:r>
          </w:p>
        </w:tc>
      </w:tr>
      <w:tr w:rsidR="00221DC7" w:rsidTr="00221DC7">
        <w:trPr>
          <w:trHeight w:val="227"/>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221DC7" w:rsidRDefault="00221DC7" w:rsidP="00221DC7">
            <w:pPr>
              <w:rPr>
                <w:rFonts w:ascii="Calibri" w:hAnsi="Calibri" w:cs="Calibri"/>
                <w:b/>
                <w:bCs/>
                <w:color w:val="000000"/>
              </w:rPr>
            </w:pPr>
            <w:r>
              <w:rPr>
                <w:rFonts w:ascii="Calibri" w:hAnsi="Calibri" w:cs="Calibri"/>
                <w:b/>
                <w:bCs/>
                <w:color w:val="000000"/>
              </w:rPr>
              <w:t>Has longstanding illness</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40</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42</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35</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21</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21</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33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36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48</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59</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69</w:t>
            </w:r>
          </w:p>
        </w:tc>
      </w:tr>
      <w:tr w:rsidR="00221DC7" w:rsidTr="00221DC7">
        <w:trPr>
          <w:trHeight w:val="227"/>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221DC7" w:rsidRDefault="00221DC7" w:rsidP="00221DC7">
            <w:pPr>
              <w:rPr>
                <w:rFonts w:ascii="Calibri" w:hAnsi="Calibri" w:cs="Calibri"/>
                <w:b/>
                <w:bCs/>
                <w:color w:val="000000"/>
              </w:rPr>
            </w:pPr>
            <w:r>
              <w:rPr>
                <w:rFonts w:ascii="Calibri" w:hAnsi="Calibri" w:cs="Calibri"/>
                <w:b/>
                <w:bCs/>
                <w:color w:val="000000"/>
              </w:rPr>
              <w:t>No longstanding illness</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60</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66</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58</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58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221DC7" w:rsidRPr="00AB341A" w:rsidRDefault="00221DC7">
            <w:pPr>
              <w:jc w:val="right"/>
              <w:rPr>
                <w:rFonts w:ascii="Calibri" w:hAnsi="Calibri" w:cs="Calibri"/>
                <w:color w:val="000000"/>
              </w:rPr>
            </w:pPr>
            <w:r w:rsidRPr="00AB341A">
              <w:rPr>
                <w:rFonts w:ascii="Calibri" w:hAnsi="Calibri" w:cs="Calibri"/>
                <w:color w:val="000000"/>
              </w:rPr>
              <w:t>65</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79</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79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67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64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52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41</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221DC7" w:rsidRPr="00AB341A" w:rsidRDefault="00221DC7">
            <w:pPr>
              <w:jc w:val="right"/>
              <w:rPr>
                <w:rFonts w:ascii="Calibri" w:hAnsi="Calibri" w:cs="Calibri"/>
                <w:color w:val="000000"/>
              </w:rPr>
            </w:pPr>
            <w:r w:rsidRPr="00AB341A">
              <w:rPr>
                <w:rFonts w:ascii="Calibri" w:hAnsi="Calibri" w:cs="Calibri"/>
                <w:color w:val="000000"/>
              </w:rPr>
              <w:t>31</w:t>
            </w:r>
          </w:p>
        </w:tc>
      </w:tr>
      <w:tr w:rsidR="00221DC7" w:rsidTr="00221DC7">
        <w:trPr>
          <w:trHeight w:val="227"/>
        </w:trPr>
        <w:tc>
          <w:tcPr>
            <w:tcW w:w="13909" w:type="dxa"/>
            <w:gridSpan w:val="20"/>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221DC7" w:rsidRPr="00AB341A" w:rsidRDefault="00221DC7" w:rsidP="00221DC7">
            <w:pPr>
              <w:rPr>
                <w:rFonts w:ascii="Calibri" w:hAnsi="Calibri" w:cs="Calibri"/>
                <w:color w:val="000000"/>
              </w:rPr>
            </w:pPr>
            <w:r w:rsidRPr="00AB341A">
              <w:rPr>
                <w:rFonts w:ascii="Calibri" w:hAnsi="Calibri" w:cs="Calibri"/>
                <w:b/>
                <w:bCs/>
                <w:color w:val="000000"/>
              </w:rPr>
              <w:t>Of those with longstanding illness:  Does illness reduce ability to carry out day-to-day activities?</w:t>
            </w:r>
          </w:p>
        </w:tc>
      </w:tr>
      <w:tr w:rsidR="00796E3D" w:rsidTr="00221DC7">
        <w:trPr>
          <w:trHeight w:val="227"/>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Yes, a lot</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43</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37</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41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29</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40</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38</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43</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56</w:t>
            </w:r>
          </w:p>
        </w:tc>
      </w:tr>
      <w:tr w:rsidR="00796E3D" w:rsidTr="00221DC7">
        <w:trPr>
          <w:trHeight w:val="227"/>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Yes, a little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38</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33</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50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35</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34</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31</w:t>
            </w:r>
          </w:p>
        </w:tc>
      </w:tr>
      <w:tr w:rsidR="00796E3D" w:rsidTr="00221DC7">
        <w:trPr>
          <w:trHeight w:val="227"/>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796E3D" w:rsidRDefault="00796E3D" w:rsidP="00221DC7">
            <w:pPr>
              <w:rPr>
                <w:rFonts w:ascii="Calibri" w:hAnsi="Calibri" w:cs="Calibri"/>
                <w:b/>
                <w:bCs/>
                <w:color w:val="000000"/>
              </w:rPr>
            </w:pPr>
            <w:r>
              <w:rPr>
                <w:rFonts w:ascii="Calibri" w:hAnsi="Calibri" w:cs="Calibri"/>
                <w:b/>
                <w:bCs/>
                <w:color w:val="000000"/>
              </w:rPr>
              <w:t>Not at all</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23</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25</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18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26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39</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40</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32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23</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13</w:t>
            </w:r>
          </w:p>
        </w:tc>
      </w:tr>
      <w:tr w:rsidR="00221DC7" w:rsidTr="00221DC7">
        <w:trPr>
          <w:trHeight w:val="227"/>
        </w:trPr>
        <w:tc>
          <w:tcPr>
            <w:tcW w:w="13909" w:type="dxa"/>
            <w:gridSpan w:val="20"/>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vAlign w:val="bottom"/>
            <w:hideMark/>
          </w:tcPr>
          <w:p w:rsidR="00221DC7" w:rsidRPr="00AB341A" w:rsidRDefault="00221DC7" w:rsidP="00221DC7">
            <w:pPr>
              <w:rPr>
                <w:rFonts w:ascii="Calibri" w:hAnsi="Calibri" w:cs="Calibri"/>
                <w:color w:val="000000"/>
              </w:rPr>
            </w:pPr>
            <w:r w:rsidRPr="00AB341A">
              <w:rPr>
                <w:rFonts w:ascii="Calibri" w:hAnsi="Calibri" w:cs="Calibri"/>
                <w:b/>
                <w:bCs/>
                <w:color w:val="000000"/>
              </w:rPr>
              <w:t>Of those whose longstanding illness was limiting: Length of time ability to carry out day-to-day activities has been reduced:</w:t>
            </w:r>
          </w:p>
        </w:tc>
      </w:tr>
      <w:tr w:rsidR="00221DC7" w:rsidTr="00221DC7">
        <w:tc>
          <w:tcPr>
            <w:tcW w:w="13909" w:type="dxa"/>
            <w:gridSpan w:val="20"/>
            <w:tcBorders>
              <w:left w:val="single" w:sz="12" w:space="0" w:color="auto"/>
              <w:right w:val="single" w:sz="12" w:space="0" w:color="auto"/>
            </w:tcBorders>
            <w:shd w:val="clear" w:color="auto" w:fill="A6A6A6" w:themeFill="background1" w:themeFillShade="A6"/>
            <w:noWrap/>
            <w:vAlign w:val="bottom"/>
            <w:hideMark/>
          </w:tcPr>
          <w:p w:rsidR="00221DC7" w:rsidRPr="00AB341A" w:rsidRDefault="00221DC7" w:rsidP="00221DC7">
            <w:pPr>
              <w:rPr>
                <w:rFonts w:ascii="Calibri" w:hAnsi="Calibri" w:cs="Calibri"/>
                <w:b/>
                <w:bCs/>
                <w:color w:val="000000"/>
              </w:rPr>
            </w:pPr>
          </w:p>
        </w:tc>
      </w:tr>
      <w:tr w:rsidR="00796E3D" w:rsidTr="00221DC7">
        <w:trPr>
          <w:trHeight w:val="227"/>
        </w:trPr>
        <w:tc>
          <w:tcPr>
            <w:tcW w:w="2391" w:type="dxa"/>
            <w:tcBorders>
              <w:left w:val="single" w:sz="12" w:space="0" w:color="auto"/>
              <w:bottom w:val="single" w:sz="12" w:space="0" w:color="auto"/>
              <w:right w:val="single" w:sz="12" w:space="0" w:color="auto"/>
            </w:tcBorders>
            <w:shd w:val="clear" w:color="auto" w:fill="A6A6A6" w:themeFill="background1" w:themeFillShade="A6"/>
            <w:vAlign w:val="bottom"/>
            <w:hideMark/>
          </w:tcPr>
          <w:p w:rsidR="00796E3D" w:rsidRDefault="00796E3D" w:rsidP="00221DC7">
            <w:pPr>
              <w:rPr>
                <w:rFonts w:ascii="Calibri" w:hAnsi="Calibri" w:cs="Calibri"/>
                <w:b/>
                <w:bCs/>
                <w:color w:val="000000"/>
              </w:rPr>
            </w:pPr>
            <w:r>
              <w:rPr>
                <w:rFonts w:ascii="Calibri" w:hAnsi="Calibri" w:cs="Calibri"/>
                <w:b/>
                <w:bCs/>
                <w:color w:val="000000"/>
              </w:rPr>
              <w:t>For 12 months or more</w:t>
            </w:r>
          </w:p>
        </w:tc>
        <w:tc>
          <w:tcPr>
            <w:tcW w:w="669" w:type="dxa"/>
            <w:tcBorders>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90</w:t>
            </w:r>
          </w:p>
        </w:tc>
        <w:tc>
          <w:tcPr>
            <w:tcW w:w="596" w:type="dxa"/>
            <w:tcBorders>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87</w:t>
            </w:r>
          </w:p>
        </w:tc>
        <w:tc>
          <w:tcPr>
            <w:tcW w:w="688" w:type="dxa"/>
            <w:tcBorders>
              <w:left w:val="single" w:sz="12" w:space="0" w:color="auto"/>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90</w:t>
            </w:r>
          </w:p>
        </w:tc>
        <w:tc>
          <w:tcPr>
            <w:tcW w:w="881" w:type="dxa"/>
            <w:tcBorders>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739" w:type="dxa"/>
            <w:tcBorders>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91</w:t>
            </w:r>
          </w:p>
        </w:tc>
        <w:tc>
          <w:tcPr>
            <w:tcW w:w="880" w:type="dxa"/>
            <w:tcBorders>
              <w:left w:val="nil"/>
              <w:bottom w:val="single" w:sz="12" w:space="0" w:color="auto"/>
              <w:right w:val="single" w:sz="4"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95</w:t>
            </w:r>
          </w:p>
        </w:tc>
        <w:tc>
          <w:tcPr>
            <w:tcW w:w="825" w:type="dxa"/>
            <w:tcBorders>
              <w:left w:val="nil"/>
              <w:bottom w:val="single" w:sz="12" w:space="0" w:color="auto"/>
              <w:right w:val="single" w:sz="12" w:space="0" w:color="auto"/>
            </w:tcBorders>
            <w:shd w:val="clear" w:color="auto" w:fill="D9D9D9" w:themeFill="background1" w:themeFillShade="D9"/>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84</w:t>
            </w:r>
          </w:p>
        </w:tc>
        <w:tc>
          <w:tcPr>
            <w:tcW w:w="871" w:type="dxa"/>
            <w:tcBorders>
              <w:left w:val="single" w:sz="12" w:space="0" w:color="auto"/>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89</w:t>
            </w:r>
          </w:p>
        </w:tc>
        <w:tc>
          <w:tcPr>
            <w:tcW w:w="440" w:type="dxa"/>
            <w:tcBorders>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440" w:type="dxa"/>
            <w:tcBorders>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94</w:t>
            </w:r>
          </w:p>
        </w:tc>
        <w:tc>
          <w:tcPr>
            <w:tcW w:w="440" w:type="dxa"/>
            <w:tcBorders>
              <w:left w:val="nil"/>
              <w:bottom w:val="single" w:sz="12" w:space="0" w:color="auto"/>
              <w:right w:val="single" w:sz="4"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89</w:t>
            </w:r>
          </w:p>
        </w:tc>
        <w:tc>
          <w:tcPr>
            <w:tcW w:w="871" w:type="dxa"/>
            <w:tcBorders>
              <w:left w:val="nil"/>
              <w:bottom w:val="single" w:sz="12" w:space="0" w:color="auto"/>
              <w:right w:val="single" w:sz="12" w:space="0" w:color="auto"/>
            </w:tcBorders>
            <w:shd w:val="clear" w:color="auto" w:fill="F2F2F2" w:themeFill="background1" w:themeFillShade="F2"/>
            <w:noWrap/>
            <w:vAlign w:val="bottom"/>
            <w:hideMark/>
          </w:tcPr>
          <w:p w:rsidR="00796E3D" w:rsidRPr="00AB341A" w:rsidRDefault="00796E3D">
            <w:pPr>
              <w:jc w:val="right"/>
              <w:rPr>
                <w:rFonts w:ascii="Calibri" w:hAnsi="Calibri" w:cs="Calibri"/>
                <w:color w:val="000000"/>
              </w:rPr>
            </w:pPr>
            <w:r w:rsidRPr="00AB341A">
              <w:rPr>
                <w:rFonts w:ascii="Calibri" w:hAnsi="Calibri" w:cs="Calibri"/>
                <w:color w:val="000000"/>
              </w:rPr>
              <w:t>87</w:t>
            </w:r>
          </w:p>
        </w:tc>
        <w:tc>
          <w:tcPr>
            <w:tcW w:w="452" w:type="dxa"/>
            <w:tcBorders>
              <w:left w:val="nil"/>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97</w:t>
            </w:r>
          </w:p>
        </w:tc>
        <w:tc>
          <w:tcPr>
            <w:tcW w:w="453" w:type="dxa"/>
            <w:tcBorders>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454" w:type="dxa"/>
            <w:tcBorders>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86</w:t>
            </w:r>
          </w:p>
        </w:tc>
        <w:tc>
          <w:tcPr>
            <w:tcW w:w="454" w:type="dxa"/>
            <w:tcBorders>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88</w:t>
            </w:r>
          </w:p>
        </w:tc>
        <w:tc>
          <w:tcPr>
            <w:tcW w:w="454" w:type="dxa"/>
            <w:tcBorders>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92</w:t>
            </w:r>
          </w:p>
        </w:tc>
        <w:tc>
          <w:tcPr>
            <w:tcW w:w="454" w:type="dxa"/>
            <w:tcBorders>
              <w:left w:val="single" w:sz="4" w:space="0" w:color="auto"/>
              <w:bottom w:val="single" w:sz="12" w:space="0" w:color="auto"/>
              <w:right w:val="single" w:sz="4"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92</w:t>
            </w:r>
          </w:p>
        </w:tc>
        <w:tc>
          <w:tcPr>
            <w:tcW w:w="457" w:type="dxa"/>
            <w:tcBorders>
              <w:left w:val="single" w:sz="4" w:space="0" w:color="auto"/>
              <w:bottom w:val="single" w:sz="12" w:space="0" w:color="auto"/>
              <w:right w:val="single" w:sz="12" w:space="0" w:color="auto"/>
            </w:tcBorders>
            <w:shd w:val="clear" w:color="auto" w:fill="D9D9D9" w:themeFill="background1" w:themeFillShade="D9"/>
            <w:vAlign w:val="bottom"/>
          </w:tcPr>
          <w:p w:rsidR="00796E3D" w:rsidRPr="00AB341A" w:rsidRDefault="00796E3D">
            <w:pPr>
              <w:jc w:val="right"/>
              <w:rPr>
                <w:rFonts w:ascii="Calibri" w:hAnsi="Calibri" w:cs="Calibri"/>
                <w:color w:val="000000"/>
              </w:rPr>
            </w:pPr>
            <w:r w:rsidRPr="00AB341A">
              <w:rPr>
                <w:rFonts w:ascii="Calibri" w:hAnsi="Calibri" w:cs="Calibri"/>
                <w:color w:val="000000"/>
              </w:rPr>
              <w:t>87</w:t>
            </w:r>
          </w:p>
        </w:tc>
      </w:tr>
    </w:tbl>
    <w:p w:rsidR="00093078" w:rsidRDefault="003B5028" w:rsidP="00597CCA">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Self Reported Conditions by Adults</w:t>
      </w:r>
    </w:p>
    <w:tbl>
      <w:tblPr>
        <w:tblW w:w="13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0"/>
        <w:gridCol w:w="1644"/>
        <w:gridCol w:w="1361"/>
        <w:gridCol w:w="1361"/>
        <w:gridCol w:w="1474"/>
      </w:tblGrid>
      <w:tr w:rsidR="006F53AF" w:rsidRPr="003417B9" w:rsidTr="00485449">
        <w:trPr>
          <w:trHeight w:val="227"/>
        </w:trPr>
        <w:tc>
          <w:tcPr>
            <w:tcW w:w="7700"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F53AF" w:rsidRPr="006F53AF" w:rsidRDefault="006F53AF" w:rsidP="003417B9">
            <w:pPr>
              <w:rPr>
                <w:rFonts w:ascii="Calibri" w:hAnsi="Calibri" w:cs="Calibri"/>
                <w:b/>
                <w:color w:val="000000"/>
                <w:lang w:eastAsia="en-GB"/>
              </w:rPr>
            </w:pPr>
            <w:r w:rsidRPr="006F53AF">
              <w:rPr>
                <w:rFonts w:ascii="Calibri" w:hAnsi="Calibri" w:cs="Calibri"/>
                <w:b/>
                <w:color w:val="000000"/>
                <w:lang w:eastAsia="en-GB"/>
              </w:rPr>
              <w:t>Self reported condition by Adult</w:t>
            </w:r>
            <w:r w:rsidR="003B5028">
              <w:rPr>
                <w:rFonts w:ascii="Calibri" w:hAnsi="Calibri" w:cs="Calibri"/>
                <w:b/>
                <w:color w:val="000000"/>
                <w:lang w:eastAsia="en-GB"/>
              </w:rPr>
              <w:t>s</w:t>
            </w:r>
          </w:p>
        </w:tc>
        <w:tc>
          <w:tcPr>
            <w:tcW w:w="1644"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F53AF" w:rsidRPr="006F53AF" w:rsidRDefault="006F53AF" w:rsidP="003417B9">
            <w:pPr>
              <w:rPr>
                <w:rFonts w:ascii="Calibri" w:hAnsi="Calibri" w:cs="Calibri"/>
                <w:b/>
                <w:color w:val="000000"/>
                <w:lang w:eastAsia="en-GB"/>
              </w:rPr>
            </w:pPr>
            <w:r w:rsidRPr="006F53AF">
              <w:rPr>
                <w:rFonts w:ascii="Calibri" w:hAnsi="Calibri" w:cs="Calibri"/>
                <w:b/>
                <w:color w:val="000000"/>
                <w:lang w:eastAsia="en-GB"/>
              </w:rPr>
              <w:t>% with condition</w:t>
            </w:r>
          </w:p>
        </w:tc>
        <w:tc>
          <w:tcPr>
            <w:tcW w:w="4196"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6F53AF" w:rsidRPr="006F53AF" w:rsidRDefault="006F53AF" w:rsidP="006F53AF">
            <w:pPr>
              <w:jc w:val="center"/>
              <w:rPr>
                <w:rFonts w:ascii="Calibri" w:hAnsi="Calibri" w:cs="Calibri"/>
                <w:b/>
                <w:color w:val="000000"/>
                <w:lang w:eastAsia="en-GB"/>
              </w:rPr>
            </w:pPr>
            <w:r w:rsidRPr="006F53AF">
              <w:rPr>
                <w:rFonts w:ascii="Calibri" w:hAnsi="Calibri" w:cs="Calibri"/>
                <w:b/>
                <w:color w:val="000000"/>
                <w:lang w:eastAsia="en-GB"/>
              </w:rPr>
              <w:t>Of these</w:t>
            </w:r>
            <w:r w:rsidR="00485449">
              <w:rPr>
                <w:rFonts w:ascii="Calibri" w:hAnsi="Calibri" w:cs="Calibri"/>
                <w:b/>
                <w:color w:val="000000"/>
                <w:lang w:eastAsia="en-GB"/>
              </w:rPr>
              <w:t>:</w:t>
            </w:r>
          </w:p>
        </w:tc>
      </w:tr>
      <w:tr w:rsidR="006F53AF" w:rsidRPr="003417B9" w:rsidTr="00485449">
        <w:trPr>
          <w:trHeight w:val="680"/>
        </w:trPr>
        <w:tc>
          <w:tcPr>
            <w:tcW w:w="7700"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F53AF" w:rsidRPr="006F53AF" w:rsidRDefault="006F53AF" w:rsidP="003417B9">
            <w:pPr>
              <w:rPr>
                <w:rFonts w:ascii="Calibri" w:hAnsi="Calibri" w:cs="Calibri"/>
                <w:b/>
                <w:color w:val="000000"/>
                <w:lang w:eastAsia="en-GB"/>
              </w:rPr>
            </w:pPr>
          </w:p>
        </w:tc>
        <w:tc>
          <w:tcPr>
            <w:tcW w:w="1644"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F53AF" w:rsidRPr="006F53AF" w:rsidRDefault="006F53AF" w:rsidP="003417B9">
            <w:pPr>
              <w:rPr>
                <w:rFonts w:ascii="Calibri" w:hAnsi="Calibri" w:cs="Calibri"/>
                <w:b/>
                <w:color w:val="000000"/>
                <w:lang w:eastAsia="en-GB"/>
              </w:rPr>
            </w:pPr>
          </w:p>
        </w:tc>
        <w:tc>
          <w:tcPr>
            <w:tcW w:w="1361" w:type="dxa"/>
            <w:tcBorders>
              <w:top w:val="single" w:sz="12" w:space="0" w:color="auto"/>
              <w:left w:val="single" w:sz="12" w:space="0" w:color="auto"/>
              <w:bottom w:val="single" w:sz="12" w:space="0" w:color="auto"/>
            </w:tcBorders>
            <w:shd w:val="clear" w:color="auto" w:fill="A6A6A6" w:themeFill="background1" w:themeFillShade="A6"/>
            <w:vAlign w:val="bottom"/>
            <w:hideMark/>
          </w:tcPr>
          <w:p w:rsidR="006F53AF" w:rsidRPr="006F53AF" w:rsidRDefault="006F53AF" w:rsidP="003417B9">
            <w:pPr>
              <w:rPr>
                <w:rFonts w:ascii="Calibri" w:hAnsi="Calibri" w:cs="Calibri"/>
                <w:b/>
                <w:color w:val="000000"/>
                <w:lang w:eastAsia="en-GB"/>
              </w:rPr>
            </w:pPr>
            <w:r w:rsidRPr="006F53AF">
              <w:rPr>
                <w:rFonts w:ascii="Calibri" w:hAnsi="Calibri" w:cs="Calibri"/>
                <w:b/>
                <w:color w:val="000000"/>
                <w:lang w:eastAsia="en-GB"/>
              </w:rPr>
              <w:t>% for whom condition limits a lot</w:t>
            </w:r>
          </w:p>
        </w:tc>
        <w:tc>
          <w:tcPr>
            <w:tcW w:w="1361" w:type="dxa"/>
            <w:tcBorders>
              <w:top w:val="single" w:sz="12" w:space="0" w:color="auto"/>
              <w:bottom w:val="single" w:sz="12" w:space="0" w:color="auto"/>
            </w:tcBorders>
            <w:shd w:val="clear" w:color="auto" w:fill="A6A6A6" w:themeFill="background1" w:themeFillShade="A6"/>
            <w:vAlign w:val="bottom"/>
            <w:hideMark/>
          </w:tcPr>
          <w:p w:rsidR="006F53AF" w:rsidRPr="006F53AF" w:rsidRDefault="006F53AF" w:rsidP="003417B9">
            <w:pPr>
              <w:rPr>
                <w:rFonts w:ascii="Calibri" w:hAnsi="Calibri" w:cs="Calibri"/>
                <w:b/>
                <w:color w:val="000000"/>
                <w:lang w:eastAsia="en-GB"/>
              </w:rPr>
            </w:pPr>
            <w:r w:rsidRPr="006F53AF">
              <w:rPr>
                <w:rFonts w:ascii="Calibri" w:hAnsi="Calibri" w:cs="Calibri"/>
                <w:b/>
                <w:color w:val="000000"/>
                <w:lang w:eastAsia="en-GB"/>
              </w:rPr>
              <w:t>% for whom condition limits a little</w:t>
            </w:r>
          </w:p>
        </w:tc>
        <w:tc>
          <w:tcPr>
            <w:tcW w:w="1474" w:type="dxa"/>
            <w:tcBorders>
              <w:top w:val="single" w:sz="12" w:space="0" w:color="auto"/>
              <w:bottom w:val="single" w:sz="12" w:space="0" w:color="auto"/>
              <w:right w:val="single" w:sz="12" w:space="0" w:color="auto"/>
            </w:tcBorders>
            <w:shd w:val="clear" w:color="auto" w:fill="A6A6A6" w:themeFill="background1" w:themeFillShade="A6"/>
            <w:vAlign w:val="bottom"/>
            <w:hideMark/>
          </w:tcPr>
          <w:p w:rsidR="006F53AF" w:rsidRPr="006F53AF" w:rsidRDefault="006F53AF" w:rsidP="003417B9">
            <w:pPr>
              <w:rPr>
                <w:rFonts w:ascii="Calibri" w:hAnsi="Calibri" w:cs="Calibri"/>
                <w:b/>
                <w:color w:val="000000"/>
                <w:lang w:eastAsia="en-GB"/>
              </w:rPr>
            </w:pPr>
            <w:r w:rsidRPr="006F53AF">
              <w:rPr>
                <w:rFonts w:ascii="Calibri" w:hAnsi="Calibri" w:cs="Calibri"/>
                <w:b/>
                <w:color w:val="000000"/>
                <w:lang w:eastAsia="en-GB"/>
              </w:rPr>
              <w:t>% for whom condition does not limit at all</w:t>
            </w:r>
          </w:p>
        </w:tc>
      </w:tr>
      <w:tr w:rsidR="003417B9" w:rsidRPr="003417B9" w:rsidTr="00485449">
        <w:trPr>
          <w:trHeight w:val="283"/>
        </w:trPr>
        <w:tc>
          <w:tcPr>
            <w:tcW w:w="7700" w:type="dxa"/>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3417B9" w:rsidRPr="00485449" w:rsidRDefault="006F53AF" w:rsidP="003417B9">
            <w:pPr>
              <w:rPr>
                <w:rFonts w:ascii="Calibri" w:hAnsi="Calibri" w:cs="Calibri"/>
                <w:b/>
                <w:color w:val="000000"/>
                <w:lang w:eastAsia="en-GB"/>
              </w:rPr>
            </w:pPr>
            <w:r w:rsidRPr="00485449">
              <w:rPr>
                <w:rFonts w:ascii="Calibri" w:hAnsi="Calibri" w:cs="Calibri"/>
                <w:b/>
                <w:color w:val="000000"/>
                <w:lang w:eastAsia="en-GB"/>
              </w:rPr>
              <w:t>Ha</w:t>
            </w:r>
            <w:r w:rsidR="003417B9" w:rsidRPr="00485449">
              <w:rPr>
                <w:rFonts w:ascii="Calibri" w:hAnsi="Calibri" w:cs="Calibri"/>
                <w:b/>
                <w:color w:val="000000"/>
                <w:lang w:eastAsia="en-GB"/>
              </w:rPr>
              <w:t>s Skeletal / Muscular problems</w:t>
            </w:r>
          </w:p>
        </w:tc>
        <w:tc>
          <w:tcPr>
            <w:tcW w:w="1644" w:type="dxa"/>
            <w:tcBorders>
              <w:top w:val="single" w:sz="12" w:space="0" w:color="auto"/>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19</w:t>
            </w:r>
          </w:p>
        </w:tc>
        <w:tc>
          <w:tcPr>
            <w:tcW w:w="1361" w:type="dxa"/>
            <w:tcBorders>
              <w:top w:val="single" w:sz="12" w:space="0" w:color="auto"/>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56</w:t>
            </w:r>
          </w:p>
        </w:tc>
        <w:tc>
          <w:tcPr>
            <w:tcW w:w="1361" w:type="dxa"/>
            <w:tcBorders>
              <w:top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34</w:t>
            </w:r>
          </w:p>
        </w:tc>
        <w:tc>
          <w:tcPr>
            <w:tcW w:w="1474" w:type="dxa"/>
            <w:tcBorders>
              <w:top w:val="single" w:sz="12" w:space="0" w:color="auto"/>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10</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Arthritis / Osteoarthritis</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18</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61</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32</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Mental Disorder / Anxiety / Depression</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17</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46</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37</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17</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E15BAB">
            <w:pPr>
              <w:rPr>
                <w:rFonts w:ascii="Calibri" w:hAnsi="Calibri" w:cs="Calibri"/>
                <w:b/>
                <w:color w:val="000000"/>
                <w:lang w:eastAsia="en-GB"/>
              </w:rPr>
            </w:pPr>
            <w:r w:rsidRPr="00485449">
              <w:rPr>
                <w:rFonts w:ascii="Calibri" w:hAnsi="Calibri" w:cs="Calibri"/>
                <w:b/>
                <w:color w:val="000000"/>
                <w:lang w:eastAsia="en-GB"/>
              </w:rPr>
              <w:t xml:space="preserve">Has </w:t>
            </w:r>
            <w:r w:rsidR="00E15BAB" w:rsidRPr="00485449">
              <w:rPr>
                <w:rFonts w:ascii="Calibri" w:hAnsi="Calibri" w:cs="Calibri"/>
                <w:b/>
                <w:color w:val="000000"/>
                <w:lang w:eastAsia="en-GB"/>
              </w:rPr>
              <w:t>A</w:t>
            </w:r>
            <w:r w:rsidRPr="00485449">
              <w:rPr>
                <w:rFonts w:ascii="Calibri" w:hAnsi="Calibri" w:cs="Calibri"/>
                <w:b/>
                <w:color w:val="000000"/>
                <w:lang w:eastAsia="en-GB"/>
              </w:rPr>
              <w:t>sthma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10</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24</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30</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46</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Blood pressure problem High / Low</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8</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28</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19</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53</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Diabetes</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8</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38</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21</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41</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Stomach / Colon / Bowel problems</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8</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37</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33</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30</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other heart condition</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6</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60</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29</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11</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COPD / Emphysema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72</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21</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Fibromyalgia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72</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26</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Cancer / Leukaemia / Lymphoma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45</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31</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24</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Angina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46</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37</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17</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Thyroid problems / Metabolic Disorder</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14</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28</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58</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Eczema / Psoriasis / Other skin condition</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36</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14</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50</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Had Stroke</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78</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18</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Bronchitis / Sarcoidosis / Pneumonia / Other lung / respiratory disorder</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57</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37</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6</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Eye problems</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54</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26</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20</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Osteoporosis / Osteopenia</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72</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13</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16</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Kidney / Liver problems</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58</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23</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19</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Ear / Hearing problem</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29</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29</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42</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Epilepsy</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58</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18</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24</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Circulatory problem / Fluid / Clot</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54</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34</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12</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Had Heart Attack</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53</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29</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18</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B5028">
            <w:pPr>
              <w:rPr>
                <w:rFonts w:ascii="Calibri" w:hAnsi="Calibri" w:cs="Calibri"/>
                <w:b/>
                <w:color w:val="000000"/>
                <w:lang w:eastAsia="en-GB"/>
              </w:rPr>
            </w:pPr>
            <w:r w:rsidRPr="00485449">
              <w:rPr>
                <w:rFonts w:ascii="Calibri" w:hAnsi="Calibri" w:cs="Calibri"/>
                <w:b/>
                <w:color w:val="000000"/>
                <w:lang w:eastAsia="en-GB"/>
              </w:rPr>
              <w:t>Has Irreg</w:t>
            </w:r>
            <w:r w:rsidR="003B5028" w:rsidRPr="00485449">
              <w:rPr>
                <w:rFonts w:ascii="Calibri" w:hAnsi="Calibri" w:cs="Calibri"/>
                <w:b/>
                <w:color w:val="000000"/>
                <w:lang w:eastAsia="en-GB"/>
              </w:rPr>
              <w:t>ul</w:t>
            </w:r>
            <w:r w:rsidRPr="00485449">
              <w:rPr>
                <w:rFonts w:ascii="Calibri" w:hAnsi="Calibri" w:cs="Calibri"/>
                <w:b/>
                <w:color w:val="000000"/>
                <w:lang w:eastAsia="en-GB"/>
              </w:rPr>
              <w:t>ar heartbeat / Fibrillation</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43</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21</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36</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Gynaecological / Menopause</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29</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25</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47</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Vertigo / Balance problem</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51</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40</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9</w:t>
            </w:r>
          </w:p>
        </w:tc>
      </w:tr>
      <w:tr w:rsidR="003417B9" w:rsidRPr="003417B9" w:rsidTr="00485449">
        <w:trPr>
          <w:trHeight w:val="283"/>
        </w:trPr>
        <w:tc>
          <w:tcPr>
            <w:tcW w:w="7700" w:type="dxa"/>
            <w:tcBorders>
              <w:left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color w:val="000000"/>
                <w:lang w:eastAsia="en-GB"/>
              </w:rPr>
            </w:pPr>
            <w:r w:rsidRPr="00485449">
              <w:rPr>
                <w:rFonts w:ascii="Calibri" w:hAnsi="Calibri" w:cs="Calibri"/>
                <w:b/>
                <w:color w:val="000000"/>
                <w:lang w:eastAsia="en-GB"/>
              </w:rPr>
              <w:t>Has Neurological / Neuropathic problem</w:t>
            </w:r>
          </w:p>
        </w:tc>
        <w:tc>
          <w:tcPr>
            <w:tcW w:w="1644" w:type="dxa"/>
            <w:tcBorders>
              <w:left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w:t>
            </w:r>
          </w:p>
        </w:tc>
        <w:tc>
          <w:tcPr>
            <w:tcW w:w="1361" w:type="dxa"/>
            <w:tcBorders>
              <w:lef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75</w:t>
            </w:r>
          </w:p>
        </w:tc>
        <w:tc>
          <w:tcPr>
            <w:tcW w:w="1361" w:type="dxa"/>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25</w:t>
            </w:r>
          </w:p>
        </w:tc>
        <w:tc>
          <w:tcPr>
            <w:tcW w:w="1474" w:type="dxa"/>
            <w:tcBorders>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0</w:t>
            </w:r>
          </w:p>
        </w:tc>
      </w:tr>
      <w:tr w:rsidR="003417B9" w:rsidRPr="003417B9" w:rsidTr="00485449">
        <w:trPr>
          <w:trHeight w:val="283"/>
        </w:trPr>
        <w:tc>
          <w:tcPr>
            <w:tcW w:w="7700" w:type="dxa"/>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3417B9" w:rsidRPr="00485449" w:rsidRDefault="003417B9" w:rsidP="003417B9">
            <w:pPr>
              <w:rPr>
                <w:rFonts w:ascii="Calibri" w:hAnsi="Calibri" w:cs="Calibri"/>
                <w:b/>
                <w:lang w:eastAsia="en-GB"/>
              </w:rPr>
            </w:pPr>
            <w:r w:rsidRPr="00485449">
              <w:rPr>
                <w:rFonts w:ascii="Calibri" w:hAnsi="Calibri" w:cs="Calibri"/>
                <w:b/>
                <w:lang w:eastAsia="en-GB"/>
              </w:rPr>
              <w:t>Has Cholesterol problem</w:t>
            </w:r>
          </w:p>
        </w:tc>
        <w:tc>
          <w:tcPr>
            <w:tcW w:w="1644" w:type="dxa"/>
            <w:tcBorders>
              <w:left w:val="single" w:sz="12" w:space="0" w:color="auto"/>
              <w:bottom w:val="single" w:sz="12" w:space="0" w:color="auto"/>
              <w:right w:val="single" w:sz="12" w:space="0" w:color="auto"/>
            </w:tcBorders>
            <w:shd w:val="clear" w:color="auto" w:fill="F2F2F2" w:themeFill="background1" w:themeFillShade="F2"/>
            <w:noWrap/>
            <w:vAlign w:val="bottom"/>
            <w:hideMark/>
          </w:tcPr>
          <w:p w:rsidR="003417B9" w:rsidRPr="003417B9" w:rsidRDefault="003417B9" w:rsidP="003417B9">
            <w:pPr>
              <w:jc w:val="right"/>
              <w:rPr>
                <w:rFonts w:ascii="Calibri" w:hAnsi="Calibri" w:cs="Calibri"/>
                <w:lang w:eastAsia="en-GB"/>
              </w:rPr>
            </w:pPr>
            <w:r w:rsidRPr="003417B9">
              <w:rPr>
                <w:rFonts w:ascii="Calibri" w:hAnsi="Calibri" w:cs="Calibri"/>
                <w:lang w:eastAsia="en-GB"/>
              </w:rPr>
              <w:t>1</w:t>
            </w:r>
          </w:p>
        </w:tc>
        <w:tc>
          <w:tcPr>
            <w:tcW w:w="1361" w:type="dxa"/>
            <w:tcBorders>
              <w:left w:val="single" w:sz="12" w:space="0" w:color="auto"/>
              <w:bottom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28</w:t>
            </w:r>
          </w:p>
        </w:tc>
        <w:tc>
          <w:tcPr>
            <w:tcW w:w="1361" w:type="dxa"/>
            <w:tcBorders>
              <w:bottom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12</w:t>
            </w:r>
          </w:p>
        </w:tc>
        <w:tc>
          <w:tcPr>
            <w:tcW w:w="1474" w:type="dxa"/>
            <w:tcBorders>
              <w:bottom w:val="single" w:sz="12" w:space="0" w:color="auto"/>
              <w:right w:val="single" w:sz="12" w:space="0" w:color="auto"/>
            </w:tcBorders>
            <w:shd w:val="clear" w:color="auto" w:fill="D9D9D9" w:themeFill="background1" w:themeFillShade="D9"/>
            <w:noWrap/>
            <w:vAlign w:val="bottom"/>
            <w:hideMark/>
          </w:tcPr>
          <w:p w:rsidR="003417B9" w:rsidRPr="003417B9" w:rsidRDefault="003417B9" w:rsidP="003417B9">
            <w:pPr>
              <w:jc w:val="right"/>
              <w:rPr>
                <w:rFonts w:ascii="Calibri" w:hAnsi="Calibri" w:cs="Calibri"/>
                <w:color w:val="000000"/>
                <w:lang w:eastAsia="en-GB"/>
              </w:rPr>
            </w:pPr>
            <w:r w:rsidRPr="003417B9">
              <w:rPr>
                <w:rFonts w:ascii="Calibri" w:hAnsi="Calibri" w:cs="Calibri"/>
                <w:color w:val="000000"/>
                <w:lang w:eastAsia="en-GB"/>
              </w:rPr>
              <w:t>60</w:t>
            </w:r>
          </w:p>
        </w:tc>
      </w:tr>
    </w:tbl>
    <w:p w:rsidR="005B7FCD" w:rsidRPr="00AC756F" w:rsidRDefault="005B7FCD" w:rsidP="00AC756F">
      <w:pPr>
        <w:pStyle w:val="Heading3"/>
        <w:spacing w:before="0"/>
        <w:rPr>
          <w:rFonts w:asciiTheme="minorHAnsi" w:hAnsiTheme="minorHAnsi" w:cstheme="minorHAnsi"/>
          <w:color w:val="auto"/>
          <w:sz w:val="22"/>
          <w:szCs w:val="22"/>
        </w:rPr>
      </w:pPr>
      <w:bookmarkStart w:id="64" w:name="_Ref381946636"/>
      <w:r w:rsidRPr="00AC756F">
        <w:rPr>
          <w:rFonts w:asciiTheme="minorHAnsi" w:hAnsiTheme="minorHAnsi" w:cstheme="minorHAnsi"/>
          <w:color w:val="auto"/>
          <w:sz w:val="22"/>
          <w:szCs w:val="22"/>
        </w:rPr>
        <w:t>EQ5D</w:t>
      </w:r>
      <w:bookmarkEnd w:id="64"/>
    </w:p>
    <w:tbl>
      <w:tblPr>
        <w:tblW w:w="14611" w:type="dxa"/>
        <w:tblInd w:w="93" w:type="dxa"/>
        <w:tblLook w:val="04A0" w:firstRow="1" w:lastRow="0" w:firstColumn="1" w:lastColumn="0" w:noHBand="0" w:noVBand="1"/>
      </w:tblPr>
      <w:tblGrid>
        <w:gridCol w:w="130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5B7FCD" w:rsidRPr="00EB5B0E" w:rsidTr="00C86A9D">
        <w:trPr>
          <w:trHeight w:val="227"/>
        </w:trPr>
        <w:tc>
          <w:tcPr>
            <w:tcW w:w="130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C86A9D">
            <w:pPr>
              <w:rPr>
                <w:rFonts w:ascii="Calibri" w:hAnsi="Calibri" w:cs="Calibri"/>
                <w:b/>
                <w:bCs/>
                <w:color w:val="000000"/>
                <w:sz w:val="18"/>
                <w:szCs w:val="18"/>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953661" w:rsidRDefault="005B7FCD" w:rsidP="00C86A9D">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951E81" w:rsidRDefault="005B7FCD" w:rsidP="00C86A9D">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5B7FCD" w:rsidRPr="00EB5B0E" w:rsidRDefault="005B7FCD" w:rsidP="00C86A9D">
            <w:pPr>
              <w:jc w:val="center"/>
              <w:rPr>
                <w:rFonts w:ascii="Calibri" w:hAnsi="Calibri" w:cs="Calibri"/>
                <w:b/>
                <w:bCs/>
                <w:color w:val="000000"/>
                <w:lang w:eastAsia="en-GB"/>
              </w:rPr>
            </w:pPr>
            <w:r>
              <w:rPr>
                <w:rFonts w:ascii="Calibri" w:hAnsi="Calibri" w:cs="Calibri"/>
                <w:b/>
                <w:bCs/>
                <w:color w:val="000000"/>
                <w:lang w:eastAsia="en-GB"/>
              </w:rPr>
              <w:t>Age</w:t>
            </w:r>
          </w:p>
        </w:tc>
      </w:tr>
      <w:tr w:rsidR="005B7FCD" w:rsidRPr="00462493" w:rsidTr="00C86A9D">
        <w:trPr>
          <w:trHeight w:val="540"/>
        </w:trPr>
        <w:tc>
          <w:tcPr>
            <w:tcW w:w="130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C86A9D">
            <w:pPr>
              <w:rPr>
                <w:rFonts w:ascii="Calibri" w:hAnsi="Calibri" w:cs="Calibri"/>
                <w:b/>
                <w:bCs/>
                <w:color w:val="000000"/>
                <w:sz w:val="18"/>
                <w:szCs w:val="18"/>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75+</w:t>
            </w:r>
          </w:p>
        </w:tc>
      </w:tr>
      <w:tr w:rsidR="005B7FCD" w:rsidTr="005B7FCD">
        <w:trPr>
          <w:trHeight w:val="300"/>
        </w:trPr>
        <w:tc>
          <w:tcPr>
            <w:tcW w:w="130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5B7FCD" w:rsidRDefault="005B7FCD" w:rsidP="00977928">
            <w:pPr>
              <w:jc w:val="left"/>
              <w:rPr>
                <w:rFonts w:ascii="Calibri" w:hAnsi="Calibri" w:cs="Calibri"/>
                <w:b/>
                <w:bCs/>
                <w:color w:val="000000"/>
              </w:rPr>
            </w:pPr>
            <w:r>
              <w:rPr>
                <w:rFonts w:ascii="Calibri" w:hAnsi="Calibri" w:cs="Calibri"/>
                <w:b/>
                <w:bCs/>
                <w:color w:val="000000"/>
              </w:rPr>
              <w:t xml:space="preserve">No problems walking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84</w:t>
            </w:r>
          </w:p>
        </w:tc>
        <w:tc>
          <w:tcPr>
            <w:tcW w:w="440" w:type="dxa"/>
            <w:gridSpan w:val="2"/>
            <w:tcBorders>
              <w:top w:val="single" w:sz="12" w:space="0" w:color="auto"/>
              <w:left w:val="nil"/>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12" w:space="0" w:color="auto"/>
              <w:left w:val="single" w:sz="4" w:space="0" w:color="auto"/>
              <w:bottom w:val="single" w:sz="4" w:space="0" w:color="auto"/>
              <w:right w:val="single" w:sz="12"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39</w:t>
            </w:r>
          </w:p>
        </w:tc>
      </w:tr>
      <w:tr w:rsidR="005B7FCD" w:rsidTr="005B7FCD">
        <w:trPr>
          <w:trHeight w:val="300"/>
        </w:trPr>
        <w:tc>
          <w:tcPr>
            <w:tcW w:w="130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5B7FCD" w:rsidRDefault="005B7FCD" w:rsidP="00977928">
            <w:pPr>
              <w:jc w:val="left"/>
              <w:rPr>
                <w:rFonts w:ascii="Calibri" w:hAnsi="Calibri" w:cs="Calibri"/>
                <w:b/>
                <w:bCs/>
                <w:color w:val="000000"/>
              </w:rPr>
            </w:pPr>
            <w:r>
              <w:rPr>
                <w:rFonts w:ascii="Calibri" w:hAnsi="Calibri" w:cs="Calibri"/>
                <w:b/>
                <w:bCs/>
                <w:color w:val="000000"/>
              </w:rPr>
              <w:t>No problems with self-care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91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93</w:t>
            </w:r>
          </w:p>
        </w:tc>
        <w:tc>
          <w:tcPr>
            <w:tcW w:w="440" w:type="dxa"/>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73</w:t>
            </w:r>
          </w:p>
        </w:tc>
      </w:tr>
      <w:tr w:rsidR="005B7FCD" w:rsidTr="005B7FCD">
        <w:trPr>
          <w:trHeight w:val="300"/>
        </w:trPr>
        <w:tc>
          <w:tcPr>
            <w:tcW w:w="130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5B7FCD" w:rsidRDefault="005B7FCD" w:rsidP="00977928">
            <w:pPr>
              <w:jc w:val="left"/>
              <w:rPr>
                <w:rFonts w:ascii="Calibri" w:hAnsi="Calibri" w:cs="Calibri"/>
                <w:b/>
                <w:bCs/>
                <w:color w:val="000000"/>
              </w:rPr>
            </w:pPr>
            <w:r>
              <w:rPr>
                <w:rFonts w:ascii="Calibri" w:hAnsi="Calibri" w:cs="Calibri"/>
                <w:b/>
                <w:bCs/>
                <w:color w:val="000000"/>
              </w:rPr>
              <w:t>No problems with usual activities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85</w:t>
            </w:r>
          </w:p>
        </w:tc>
        <w:tc>
          <w:tcPr>
            <w:tcW w:w="440" w:type="dxa"/>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41</w:t>
            </w:r>
          </w:p>
        </w:tc>
      </w:tr>
      <w:tr w:rsidR="005B7FCD" w:rsidTr="005B7FCD">
        <w:trPr>
          <w:trHeight w:val="300"/>
        </w:trPr>
        <w:tc>
          <w:tcPr>
            <w:tcW w:w="130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5B7FCD" w:rsidRDefault="005B7FCD" w:rsidP="00977928">
            <w:pPr>
              <w:jc w:val="left"/>
              <w:rPr>
                <w:rFonts w:ascii="Calibri" w:hAnsi="Calibri" w:cs="Calibri"/>
                <w:b/>
                <w:bCs/>
                <w:color w:val="000000"/>
              </w:rPr>
            </w:pPr>
            <w:r>
              <w:rPr>
                <w:rFonts w:ascii="Calibri" w:hAnsi="Calibri" w:cs="Calibri"/>
                <w:b/>
                <w:bCs/>
                <w:color w:val="000000"/>
              </w:rPr>
              <w:t>No pain or discomfort</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71</w:t>
            </w:r>
          </w:p>
        </w:tc>
        <w:tc>
          <w:tcPr>
            <w:tcW w:w="440" w:type="dxa"/>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38</w:t>
            </w:r>
          </w:p>
        </w:tc>
      </w:tr>
      <w:tr w:rsidR="005B7FCD" w:rsidTr="00C86A9D">
        <w:trPr>
          <w:trHeight w:val="300"/>
        </w:trPr>
        <w:tc>
          <w:tcPr>
            <w:tcW w:w="130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Default="005B7FCD" w:rsidP="00977928">
            <w:pPr>
              <w:jc w:val="left"/>
              <w:rPr>
                <w:rFonts w:ascii="Calibri" w:hAnsi="Calibri" w:cs="Calibri"/>
                <w:b/>
                <w:bCs/>
                <w:color w:val="000000"/>
              </w:rPr>
            </w:pPr>
            <w:r>
              <w:rPr>
                <w:rFonts w:ascii="Calibri" w:hAnsi="Calibri" w:cs="Calibri"/>
                <w:b/>
                <w:bCs/>
                <w:color w:val="000000"/>
              </w:rPr>
              <w:t>Not anxious or depressed</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70</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79</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67</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72</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5B7FCD" w:rsidRDefault="005B7FCD">
            <w:pPr>
              <w:jc w:val="right"/>
              <w:rPr>
                <w:rFonts w:ascii="Calibri" w:hAnsi="Calibri" w:cs="Calibri"/>
                <w:color w:val="000000"/>
                <w:sz w:val="22"/>
                <w:szCs w:val="22"/>
              </w:rPr>
            </w:pPr>
            <w:r>
              <w:rPr>
                <w:rFonts w:ascii="Calibri" w:hAnsi="Calibri" w:cs="Calibri"/>
                <w:color w:val="000000"/>
                <w:sz w:val="22"/>
                <w:szCs w:val="22"/>
              </w:rPr>
              <w:t>77</w:t>
            </w:r>
          </w:p>
        </w:tc>
        <w:tc>
          <w:tcPr>
            <w:tcW w:w="440" w:type="dxa"/>
            <w:gridSpan w:val="2"/>
            <w:tcBorders>
              <w:top w:val="nil"/>
              <w:left w:val="nil"/>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single" w:sz="4" w:space="0" w:color="auto"/>
              <w:bottom w:val="single" w:sz="12" w:space="0" w:color="auto"/>
              <w:right w:val="single" w:sz="12" w:space="0" w:color="auto"/>
            </w:tcBorders>
            <w:shd w:val="clear" w:color="auto" w:fill="F2F2F2" w:themeFill="background1" w:themeFillShade="F2"/>
            <w:vAlign w:val="bottom"/>
          </w:tcPr>
          <w:p w:rsidR="005B7FCD" w:rsidRDefault="005B7FCD">
            <w:pPr>
              <w:jc w:val="right"/>
              <w:rPr>
                <w:rFonts w:ascii="Calibri" w:hAnsi="Calibri" w:cs="Calibri"/>
                <w:color w:val="000000"/>
                <w:sz w:val="22"/>
                <w:szCs w:val="22"/>
              </w:rPr>
            </w:pPr>
            <w:r>
              <w:rPr>
                <w:rFonts w:ascii="Calibri" w:hAnsi="Calibri" w:cs="Calibri"/>
                <w:color w:val="000000"/>
                <w:sz w:val="22"/>
                <w:szCs w:val="22"/>
              </w:rPr>
              <w:t>75</w:t>
            </w:r>
          </w:p>
        </w:tc>
      </w:tr>
    </w:tbl>
    <w:p w:rsidR="005B7FCD" w:rsidRDefault="005B7FCD" w:rsidP="005B7FCD">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5B7FCD" w:rsidRPr="00AC756F" w:rsidRDefault="005B7FCD" w:rsidP="00AC756F">
      <w:pPr>
        <w:pStyle w:val="Heading3"/>
        <w:spacing w:before="0"/>
        <w:rPr>
          <w:rFonts w:asciiTheme="minorHAnsi" w:hAnsiTheme="minorHAnsi" w:cstheme="minorHAnsi"/>
          <w:color w:val="auto"/>
          <w:sz w:val="22"/>
          <w:szCs w:val="22"/>
        </w:rPr>
      </w:pPr>
      <w:bookmarkStart w:id="65" w:name="_Ref381946643"/>
      <w:r w:rsidRPr="00AC756F">
        <w:rPr>
          <w:rFonts w:asciiTheme="minorHAnsi" w:hAnsiTheme="minorHAnsi" w:cstheme="minorHAnsi"/>
          <w:color w:val="auto"/>
          <w:sz w:val="22"/>
          <w:szCs w:val="22"/>
        </w:rPr>
        <w:t>Caring for sick, disabled or elderly person</w:t>
      </w:r>
      <w:bookmarkEnd w:id="65"/>
    </w:p>
    <w:tbl>
      <w:tblPr>
        <w:tblW w:w="14611" w:type="dxa"/>
        <w:tblInd w:w="93" w:type="dxa"/>
        <w:tblLook w:val="04A0" w:firstRow="1" w:lastRow="0" w:firstColumn="1" w:lastColumn="0" w:noHBand="0" w:noVBand="1"/>
      </w:tblPr>
      <w:tblGrid>
        <w:gridCol w:w="130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5B7FCD" w:rsidRPr="00EB5B0E" w:rsidTr="00C86A9D">
        <w:trPr>
          <w:trHeight w:val="227"/>
        </w:trPr>
        <w:tc>
          <w:tcPr>
            <w:tcW w:w="130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C86A9D">
            <w:pPr>
              <w:rPr>
                <w:rFonts w:ascii="Calibri" w:hAnsi="Calibri" w:cs="Calibri"/>
                <w:b/>
                <w:bCs/>
                <w:color w:val="000000"/>
                <w:sz w:val="18"/>
                <w:szCs w:val="18"/>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953661" w:rsidRDefault="005B7FCD" w:rsidP="00C86A9D">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951E81" w:rsidRDefault="005B7FCD" w:rsidP="00C86A9D">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EB5B0E" w:rsidRDefault="005B7FCD" w:rsidP="00C86A9D">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5B7FCD" w:rsidRPr="00EB5B0E" w:rsidRDefault="005B7FCD" w:rsidP="00C86A9D">
            <w:pPr>
              <w:jc w:val="center"/>
              <w:rPr>
                <w:rFonts w:ascii="Calibri" w:hAnsi="Calibri" w:cs="Calibri"/>
                <w:b/>
                <w:bCs/>
                <w:color w:val="000000"/>
                <w:lang w:eastAsia="en-GB"/>
              </w:rPr>
            </w:pPr>
            <w:r>
              <w:rPr>
                <w:rFonts w:ascii="Calibri" w:hAnsi="Calibri" w:cs="Calibri"/>
                <w:b/>
                <w:bCs/>
                <w:color w:val="000000"/>
                <w:lang w:eastAsia="en-GB"/>
              </w:rPr>
              <w:t>Age</w:t>
            </w:r>
          </w:p>
        </w:tc>
      </w:tr>
      <w:tr w:rsidR="005B7FCD" w:rsidRPr="00462493" w:rsidTr="00C86A9D">
        <w:trPr>
          <w:trHeight w:val="540"/>
        </w:trPr>
        <w:tc>
          <w:tcPr>
            <w:tcW w:w="130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C86A9D">
            <w:pPr>
              <w:rPr>
                <w:rFonts w:ascii="Calibri" w:hAnsi="Calibri" w:cs="Calibri"/>
                <w:b/>
                <w:bCs/>
                <w:color w:val="000000"/>
                <w:sz w:val="18"/>
                <w:szCs w:val="18"/>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462493" w:rsidRDefault="005B7FCD" w:rsidP="00C86A9D">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5B7FCD" w:rsidRDefault="005B7FCD" w:rsidP="00C86A9D">
            <w:pPr>
              <w:rPr>
                <w:rFonts w:ascii="Calibri" w:hAnsi="Calibri" w:cs="Calibri"/>
                <w:b/>
                <w:bCs/>
                <w:color w:val="000000"/>
              </w:rPr>
            </w:pPr>
            <w:r>
              <w:rPr>
                <w:rFonts w:ascii="Calibri" w:hAnsi="Calibri" w:cs="Calibri"/>
                <w:b/>
                <w:bCs/>
                <w:color w:val="000000"/>
              </w:rPr>
              <w:t>75+</w:t>
            </w:r>
          </w:p>
        </w:tc>
      </w:tr>
      <w:tr w:rsidR="005B7FCD" w:rsidTr="00C86A9D">
        <w:trPr>
          <w:trHeight w:val="300"/>
        </w:trPr>
        <w:tc>
          <w:tcPr>
            <w:tcW w:w="130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977928">
            <w:pPr>
              <w:jc w:val="left"/>
              <w:rPr>
                <w:rFonts w:ascii="Calibri" w:hAnsi="Calibri" w:cs="Calibri"/>
                <w:b/>
                <w:bCs/>
                <w:color w:val="000000"/>
                <w:sz w:val="18"/>
                <w:szCs w:val="18"/>
              </w:rPr>
            </w:pPr>
            <w:r w:rsidRPr="00D62B28">
              <w:rPr>
                <w:rFonts w:ascii="Calibri" w:hAnsi="Calibri" w:cs="Calibri"/>
                <w:b/>
                <w:bCs/>
                <w:color w:val="000000"/>
                <w:sz w:val="18"/>
                <w:szCs w:val="18"/>
              </w:rPr>
              <w:t>Cares for sick, disabled or elderly person</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14</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440" w:type="dxa"/>
            <w:gridSpan w:val="2"/>
            <w:tcBorders>
              <w:top w:val="single" w:sz="12" w:space="0" w:color="auto"/>
              <w:left w:val="nil"/>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12</w:t>
            </w:r>
          </w:p>
        </w:tc>
      </w:tr>
      <w:tr w:rsidR="005B7FCD" w:rsidTr="00C86A9D">
        <w:trPr>
          <w:trHeight w:val="300"/>
        </w:trPr>
        <w:tc>
          <w:tcPr>
            <w:tcW w:w="1461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5B7FCD" w:rsidRPr="00D62B28" w:rsidRDefault="005B7FCD" w:rsidP="00977928">
            <w:pPr>
              <w:jc w:val="left"/>
              <w:rPr>
                <w:rFonts w:ascii="Calibri" w:hAnsi="Calibri" w:cs="Calibri"/>
                <w:color w:val="000000"/>
              </w:rPr>
            </w:pPr>
            <w:r w:rsidRPr="00D62B28">
              <w:rPr>
                <w:rFonts w:ascii="Calibri" w:hAnsi="Calibri" w:cs="Calibri"/>
                <w:b/>
                <w:bCs/>
                <w:color w:val="000000"/>
              </w:rPr>
              <w:t xml:space="preserve">For those who </w:t>
            </w:r>
            <w:r>
              <w:rPr>
                <w:rFonts w:ascii="Calibri" w:hAnsi="Calibri" w:cs="Calibri"/>
                <w:b/>
                <w:bCs/>
                <w:color w:val="000000"/>
                <w:sz w:val="18"/>
                <w:szCs w:val="18"/>
              </w:rPr>
              <w:t>care</w:t>
            </w:r>
            <w:r w:rsidRPr="00D62B28">
              <w:rPr>
                <w:rFonts w:ascii="Calibri" w:hAnsi="Calibri" w:cs="Calibri"/>
                <w:b/>
                <w:bCs/>
                <w:color w:val="000000"/>
                <w:sz w:val="18"/>
                <w:szCs w:val="18"/>
              </w:rPr>
              <w:t xml:space="preserve"> for sick, disabled or elderly person</w:t>
            </w:r>
            <w:r w:rsidRPr="00D62B28">
              <w:rPr>
                <w:rFonts w:ascii="Calibri" w:hAnsi="Calibri" w:cs="Calibri"/>
                <w:b/>
                <w:bCs/>
                <w:color w:val="000000"/>
              </w:rPr>
              <w:t xml:space="preserve"> - number of hours</w:t>
            </w:r>
          </w:p>
        </w:tc>
      </w:tr>
      <w:tr w:rsidR="005B7FCD" w:rsidTr="00C86A9D">
        <w:trPr>
          <w:trHeight w:val="300"/>
        </w:trPr>
        <w:tc>
          <w:tcPr>
            <w:tcW w:w="130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5B7FCD" w:rsidRPr="00D62B28" w:rsidRDefault="005B7FCD" w:rsidP="00977928">
            <w:pPr>
              <w:jc w:val="left"/>
              <w:rPr>
                <w:rFonts w:ascii="Calibri" w:hAnsi="Calibri" w:cs="Calibri"/>
                <w:b/>
                <w:bCs/>
                <w:color w:val="000000"/>
                <w:sz w:val="18"/>
                <w:szCs w:val="18"/>
              </w:rPr>
            </w:pPr>
            <w:r w:rsidRPr="00D62B28">
              <w:rPr>
                <w:rFonts w:ascii="Calibri" w:hAnsi="Calibri" w:cs="Calibri"/>
                <w:b/>
                <w:bCs/>
                <w:color w:val="000000"/>
                <w:sz w:val="18"/>
                <w:szCs w:val="18"/>
              </w:rPr>
              <w:t>Under 20 hours per week</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70</w:t>
            </w:r>
          </w:p>
        </w:tc>
        <w:tc>
          <w:tcPr>
            <w:tcW w:w="440" w:type="dxa"/>
            <w:gridSpan w:val="2"/>
            <w:tcBorders>
              <w:top w:val="single" w:sz="12" w:space="0" w:color="auto"/>
              <w:left w:val="nil"/>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4" w:space="0" w:color="auto"/>
              <w:right w:val="single" w:sz="12"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26</w:t>
            </w:r>
          </w:p>
        </w:tc>
      </w:tr>
      <w:tr w:rsidR="005B7FCD" w:rsidTr="00C86A9D">
        <w:trPr>
          <w:trHeight w:val="300"/>
        </w:trPr>
        <w:tc>
          <w:tcPr>
            <w:tcW w:w="130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5B7FCD" w:rsidRPr="00D62B28" w:rsidRDefault="005B7FCD" w:rsidP="00977928">
            <w:pPr>
              <w:jc w:val="left"/>
              <w:rPr>
                <w:rFonts w:ascii="Calibri" w:hAnsi="Calibri" w:cs="Calibri"/>
                <w:b/>
                <w:bCs/>
                <w:color w:val="000000"/>
                <w:sz w:val="18"/>
                <w:szCs w:val="18"/>
              </w:rPr>
            </w:pPr>
            <w:r w:rsidRPr="00D62B28">
              <w:rPr>
                <w:rFonts w:ascii="Calibri" w:hAnsi="Calibri" w:cs="Calibri"/>
                <w:b/>
                <w:bCs/>
                <w:color w:val="000000"/>
                <w:sz w:val="18"/>
                <w:szCs w:val="18"/>
              </w:rPr>
              <w:t>Over 20 hours per week</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37</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41</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39</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50</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30</w:t>
            </w:r>
          </w:p>
        </w:tc>
        <w:tc>
          <w:tcPr>
            <w:tcW w:w="440" w:type="dxa"/>
            <w:gridSpan w:val="2"/>
            <w:tcBorders>
              <w:top w:val="nil"/>
              <w:left w:val="nil"/>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single" w:sz="4" w:space="0" w:color="auto"/>
              <w:bottom w:val="single" w:sz="12" w:space="0" w:color="auto"/>
              <w:right w:val="single" w:sz="12" w:space="0" w:color="auto"/>
            </w:tcBorders>
            <w:shd w:val="clear" w:color="auto" w:fill="F2F2F2" w:themeFill="background1" w:themeFillShade="F2"/>
            <w:vAlign w:val="bottom"/>
          </w:tcPr>
          <w:p w:rsidR="005B7FCD" w:rsidRDefault="005B7FCD" w:rsidP="00C86A9D">
            <w:pPr>
              <w:jc w:val="right"/>
              <w:rPr>
                <w:rFonts w:ascii="Calibri" w:hAnsi="Calibri" w:cs="Calibri"/>
                <w:color w:val="000000"/>
                <w:sz w:val="22"/>
                <w:szCs w:val="22"/>
              </w:rPr>
            </w:pPr>
            <w:r>
              <w:rPr>
                <w:rFonts w:ascii="Calibri" w:hAnsi="Calibri" w:cs="Calibri"/>
                <w:color w:val="000000"/>
                <w:sz w:val="22"/>
                <w:szCs w:val="22"/>
              </w:rPr>
              <w:t>74</w:t>
            </w:r>
          </w:p>
        </w:tc>
      </w:tr>
    </w:tbl>
    <w:p w:rsidR="005B7FCD" w:rsidRDefault="005B7FCD" w:rsidP="005B7FCD">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873670" w:rsidRDefault="00873670" w:rsidP="00485449">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F3746F" w:rsidRDefault="00F3746F" w:rsidP="00485449">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5B7FCD" w:rsidRDefault="005B7FCD" w:rsidP="00485449">
      <w:pPr>
        <w:tabs>
          <w:tab w:val="center" w:pos="4075"/>
        </w:tabs>
        <w:autoSpaceDE w:val="0"/>
        <w:autoSpaceDN w:val="0"/>
        <w:adjustRightInd w:val="0"/>
        <w:rPr>
          <w:rFonts w:asciiTheme="minorHAnsi" w:hAnsiTheme="minorHAnsi" w:cstheme="minorHAnsi"/>
          <w:b/>
          <w:sz w:val="22"/>
          <w:szCs w:val="22"/>
        </w:rPr>
      </w:pPr>
    </w:p>
    <w:p w:rsidR="00485449" w:rsidRDefault="008B5D9B" w:rsidP="00485449">
      <w:pPr>
        <w:tabs>
          <w:tab w:val="center" w:pos="4075"/>
        </w:tabs>
        <w:autoSpaceDE w:val="0"/>
        <w:autoSpaceDN w:val="0"/>
        <w:adjustRightInd w:val="0"/>
        <w:rPr>
          <w:rFonts w:asciiTheme="minorHAnsi" w:hAnsiTheme="minorHAnsi" w:cstheme="minorHAnsi"/>
          <w:b/>
          <w:sz w:val="22"/>
          <w:szCs w:val="22"/>
        </w:rPr>
      </w:pPr>
      <w:r w:rsidRPr="008B5D9B">
        <w:rPr>
          <w:rFonts w:asciiTheme="minorHAnsi" w:hAnsiTheme="minorHAnsi" w:cstheme="minorHAnsi"/>
          <w:b/>
          <w:sz w:val="22"/>
          <w:szCs w:val="22"/>
        </w:rPr>
        <w:t>How much influence do you think you have on your own health, by the way you choose to live your life</w:t>
      </w:r>
      <w:r w:rsidR="00485449">
        <w:rPr>
          <w:rFonts w:asciiTheme="minorHAnsi" w:hAnsiTheme="minorHAnsi" w:cstheme="minorHAnsi"/>
          <w:b/>
          <w:sz w:val="22"/>
          <w:szCs w:val="22"/>
        </w:rPr>
        <w:t xml:space="preserve"> – All Respondents</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485449" w:rsidRPr="00EB5B0E" w:rsidTr="008B5D9B">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85449" w:rsidRPr="00BE1A84" w:rsidRDefault="00485449" w:rsidP="008B5D9B">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85449" w:rsidRPr="00953661" w:rsidRDefault="00485449" w:rsidP="008B5D9B">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85449" w:rsidRPr="00462493" w:rsidTr="008B5D9B">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85449" w:rsidRPr="00462493" w:rsidRDefault="00485449" w:rsidP="008B5D9B">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8B5D9B" w:rsidRPr="00462493" w:rsidTr="008B5D9B">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8B5D9B" w:rsidRDefault="008B5D9B">
            <w:pPr>
              <w:rPr>
                <w:rFonts w:ascii="Calibri" w:hAnsi="Calibri" w:cs="Calibri"/>
                <w:b/>
                <w:bCs/>
                <w:color w:val="000000"/>
              </w:rPr>
            </w:pPr>
            <w:r>
              <w:rPr>
                <w:rFonts w:ascii="Calibri" w:hAnsi="Calibri" w:cs="Calibri"/>
                <w:b/>
                <w:bCs/>
                <w:color w:val="000000"/>
              </w:rPr>
              <w:t>A great deal</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55</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53</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56</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55</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54</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63</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49</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60</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50</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50</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58</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60</w:t>
            </w:r>
          </w:p>
        </w:tc>
      </w:tr>
      <w:tr w:rsidR="008B5D9B" w:rsidRPr="00462493" w:rsidTr="008B5D9B">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8B5D9B" w:rsidRDefault="008B5D9B">
            <w:pPr>
              <w:rPr>
                <w:rFonts w:ascii="Calibri" w:hAnsi="Calibri" w:cs="Calibri"/>
                <w:b/>
                <w:bCs/>
                <w:color w:val="000000"/>
              </w:rPr>
            </w:pPr>
            <w:r>
              <w:rPr>
                <w:rFonts w:ascii="Calibri" w:hAnsi="Calibri" w:cs="Calibri"/>
                <w:b/>
                <w:bCs/>
                <w:color w:val="000000"/>
              </w:rPr>
              <w:t>Quite a lot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35</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28</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41</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41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34</w:t>
            </w:r>
          </w:p>
        </w:tc>
      </w:tr>
      <w:tr w:rsidR="008B5D9B" w:rsidRPr="00462493" w:rsidTr="008B5D9B">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8B5D9B" w:rsidRDefault="008B5D9B">
            <w:pPr>
              <w:rPr>
                <w:rFonts w:ascii="Calibri" w:hAnsi="Calibri" w:cs="Calibri"/>
                <w:b/>
                <w:bCs/>
                <w:color w:val="000000"/>
              </w:rPr>
            </w:pPr>
            <w:r>
              <w:rPr>
                <w:rFonts w:ascii="Calibri" w:hAnsi="Calibri" w:cs="Calibri"/>
                <w:b/>
                <w:bCs/>
                <w:color w:val="000000"/>
              </w:rPr>
              <w:t>A little / None</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10</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11</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10</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10</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9</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10</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7</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10</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14</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8B5D9B" w:rsidRDefault="008B5D9B">
            <w:pPr>
              <w:jc w:val="right"/>
              <w:rPr>
                <w:rFonts w:ascii="Calibri" w:hAnsi="Calibri" w:cs="Calibri"/>
                <w:color w:val="000000"/>
                <w:sz w:val="22"/>
                <w:szCs w:val="22"/>
              </w:rPr>
            </w:pPr>
            <w:r>
              <w:rPr>
                <w:rFonts w:ascii="Calibri" w:hAnsi="Calibri" w:cs="Calibri"/>
                <w:color w:val="000000"/>
                <w:sz w:val="22"/>
                <w:szCs w:val="22"/>
              </w:rPr>
              <w:t>6</w:t>
            </w:r>
          </w:p>
        </w:tc>
      </w:tr>
    </w:tbl>
    <w:p w:rsidR="00485449" w:rsidRPr="00F642CF" w:rsidRDefault="00485449" w:rsidP="00485449">
      <w:pPr>
        <w:tabs>
          <w:tab w:val="center" w:pos="4075"/>
        </w:tabs>
        <w:autoSpaceDE w:val="0"/>
        <w:autoSpaceDN w:val="0"/>
        <w:adjustRightInd w:val="0"/>
        <w:rPr>
          <w:rFonts w:asciiTheme="minorHAnsi" w:hAnsiTheme="minorHAnsi" w:cstheme="minorHAnsi"/>
          <w:b/>
          <w:sz w:val="8"/>
          <w:szCs w:val="8"/>
        </w:rPr>
      </w:pPr>
    </w:p>
    <w:p w:rsidR="00485449" w:rsidRDefault="00485449" w:rsidP="00485449">
      <w:pPr>
        <w:tabs>
          <w:tab w:val="center" w:pos="4075"/>
        </w:tabs>
        <w:autoSpaceDE w:val="0"/>
        <w:autoSpaceDN w:val="0"/>
        <w:adjustRightInd w:val="0"/>
        <w:rPr>
          <w:rFonts w:asciiTheme="minorHAnsi" w:hAnsiTheme="minorHAnsi" w:cstheme="minorHAnsi"/>
          <w:b/>
          <w:sz w:val="22"/>
          <w:szCs w:val="22"/>
        </w:rPr>
      </w:pPr>
    </w:p>
    <w:p w:rsidR="00485449" w:rsidRDefault="008B5D9B" w:rsidP="00485449">
      <w:pPr>
        <w:tabs>
          <w:tab w:val="center" w:pos="4075"/>
        </w:tabs>
        <w:autoSpaceDE w:val="0"/>
        <w:autoSpaceDN w:val="0"/>
        <w:adjustRightInd w:val="0"/>
        <w:rPr>
          <w:rFonts w:asciiTheme="minorHAnsi" w:hAnsiTheme="minorHAnsi" w:cstheme="minorHAnsi"/>
          <w:b/>
          <w:sz w:val="22"/>
          <w:szCs w:val="22"/>
        </w:rPr>
      </w:pPr>
      <w:r w:rsidRPr="008B5D9B">
        <w:rPr>
          <w:rFonts w:asciiTheme="minorHAnsi" w:hAnsiTheme="minorHAnsi" w:cstheme="minorHAnsi"/>
          <w:b/>
          <w:sz w:val="22"/>
          <w:szCs w:val="22"/>
        </w:rPr>
        <w:t>How much influence do you think you have on your own health, by the way you choose to live your life</w:t>
      </w:r>
      <w:r>
        <w:rPr>
          <w:rFonts w:asciiTheme="minorHAnsi" w:hAnsiTheme="minorHAnsi" w:cstheme="minorHAnsi"/>
          <w:b/>
          <w:sz w:val="22"/>
          <w:szCs w:val="22"/>
        </w:rPr>
        <w:t xml:space="preserve"> </w:t>
      </w:r>
      <w:r w:rsidR="00485449">
        <w:rPr>
          <w:rFonts w:asciiTheme="minorHAnsi" w:hAnsiTheme="minorHAnsi" w:cstheme="minorHAnsi"/>
          <w:b/>
          <w:sz w:val="22"/>
          <w:szCs w:val="22"/>
        </w:rPr>
        <w:t>–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85449" w:rsidRPr="00EB5B0E" w:rsidTr="008B5D9B">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85449" w:rsidRPr="00BE1A84" w:rsidRDefault="00485449" w:rsidP="008B5D9B">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85449" w:rsidRPr="00EB5B0E" w:rsidRDefault="00485449" w:rsidP="008B5D9B">
            <w:pPr>
              <w:jc w:val="center"/>
              <w:rPr>
                <w:rFonts w:ascii="Calibri" w:hAnsi="Calibri" w:cs="Calibri"/>
                <w:b/>
                <w:bCs/>
                <w:color w:val="000000"/>
                <w:lang w:eastAsia="en-GB"/>
              </w:rPr>
            </w:pPr>
            <w:r>
              <w:rPr>
                <w:rFonts w:ascii="Calibri" w:hAnsi="Calibri" w:cs="Calibri"/>
                <w:b/>
                <w:bCs/>
                <w:color w:val="000000"/>
                <w:lang w:eastAsia="en-GB"/>
              </w:rPr>
              <w:t>Age</w:t>
            </w:r>
          </w:p>
        </w:tc>
      </w:tr>
      <w:tr w:rsidR="00485449" w:rsidRPr="00462493" w:rsidTr="008B5D9B">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85449" w:rsidRPr="00462493" w:rsidRDefault="00485449" w:rsidP="008B5D9B">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75+</w:t>
            </w:r>
          </w:p>
        </w:tc>
      </w:tr>
      <w:tr w:rsidR="00C53891" w:rsidRPr="00462493" w:rsidTr="008B5D9B">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53891" w:rsidRDefault="00C53891" w:rsidP="008B5D9B">
            <w:pPr>
              <w:rPr>
                <w:rFonts w:ascii="Calibri" w:hAnsi="Calibri" w:cs="Calibri"/>
                <w:b/>
                <w:bCs/>
                <w:color w:val="000000"/>
              </w:rPr>
            </w:pPr>
            <w:r>
              <w:rPr>
                <w:rFonts w:ascii="Calibri" w:hAnsi="Calibri" w:cs="Calibri"/>
                <w:b/>
                <w:bCs/>
                <w:color w:val="000000"/>
              </w:rPr>
              <w:t>A great deal</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54</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62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45</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61</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55</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63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58</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43</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34</w:t>
            </w:r>
          </w:p>
        </w:tc>
      </w:tr>
      <w:tr w:rsidR="00C53891" w:rsidRPr="00462493" w:rsidTr="008B5D9B">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53891" w:rsidRDefault="00C53891" w:rsidP="008B5D9B">
            <w:pPr>
              <w:rPr>
                <w:rFonts w:ascii="Calibri" w:hAnsi="Calibri" w:cs="Calibri"/>
                <w:b/>
                <w:bCs/>
                <w:color w:val="000000"/>
              </w:rPr>
            </w:pPr>
            <w:r>
              <w:rPr>
                <w:rFonts w:ascii="Calibri" w:hAnsi="Calibri" w:cs="Calibri"/>
                <w:b/>
                <w:bCs/>
                <w:color w:val="000000"/>
              </w:rPr>
              <w:t>Quite a lot</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37</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29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32</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38</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29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35</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42</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46</w:t>
            </w:r>
          </w:p>
        </w:tc>
      </w:tr>
      <w:tr w:rsidR="00C53891" w:rsidRPr="00462493" w:rsidTr="008B5D9B">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53891" w:rsidRDefault="00C53891" w:rsidP="008B5D9B">
            <w:pPr>
              <w:rPr>
                <w:rFonts w:ascii="Calibri" w:hAnsi="Calibri" w:cs="Calibri"/>
                <w:b/>
                <w:bCs/>
                <w:color w:val="000000"/>
              </w:rPr>
            </w:pPr>
            <w:r>
              <w:rPr>
                <w:rFonts w:ascii="Calibri" w:hAnsi="Calibri" w:cs="Calibri"/>
                <w:b/>
                <w:bCs/>
                <w:color w:val="000000"/>
              </w:rPr>
              <w:t>A little / None</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10</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16</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19</w:t>
            </w:r>
          </w:p>
        </w:tc>
      </w:tr>
    </w:tbl>
    <w:p w:rsidR="00485449" w:rsidRPr="00F642CF" w:rsidRDefault="00485449" w:rsidP="00485449">
      <w:pPr>
        <w:tabs>
          <w:tab w:val="center" w:pos="4075"/>
        </w:tabs>
        <w:autoSpaceDE w:val="0"/>
        <w:autoSpaceDN w:val="0"/>
        <w:adjustRightInd w:val="0"/>
        <w:rPr>
          <w:rFonts w:asciiTheme="minorHAnsi" w:hAnsiTheme="minorHAnsi" w:cstheme="minorHAnsi"/>
          <w:b/>
          <w:sz w:val="8"/>
          <w:szCs w:val="8"/>
        </w:rPr>
      </w:pPr>
    </w:p>
    <w:p w:rsidR="00485449" w:rsidRDefault="00485449" w:rsidP="00485449">
      <w:pPr>
        <w:tabs>
          <w:tab w:val="center" w:pos="4075"/>
        </w:tabs>
        <w:autoSpaceDE w:val="0"/>
        <w:autoSpaceDN w:val="0"/>
        <w:adjustRightInd w:val="0"/>
        <w:rPr>
          <w:rFonts w:asciiTheme="minorHAnsi" w:hAnsiTheme="minorHAnsi" w:cstheme="minorHAnsi"/>
          <w:b/>
          <w:sz w:val="22"/>
          <w:szCs w:val="22"/>
        </w:rPr>
      </w:pPr>
    </w:p>
    <w:p w:rsidR="00485449" w:rsidRDefault="008B5D9B" w:rsidP="00485449">
      <w:pPr>
        <w:tabs>
          <w:tab w:val="center" w:pos="4075"/>
        </w:tabs>
        <w:autoSpaceDE w:val="0"/>
        <w:autoSpaceDN w:val="0"/>
        <w:adjustRightInd w:val="0"/>
        <w:rPr>
          <w:rFonts w:asciiTheme="minorHAnsi" w:hAnsiTheme="minorHAnsi" w:cstheme="minorHAnsi"/>
          <w:b/>
          <w:sz w:val="22"/>
          <w:szCs w:val="22"/>
        </w:rPr>
      </w:pPr>
      <w:r w:rsidRPr="008B5D9B">
        <w:rPr>
          <w:rFonts w:asciiTheme="minorHAnsi" w:hAnsiTheme="minorHAnsi" w:cstheme="minorHAnsi"/>
          <w:b/>
          <w:sz w:val="22"/>
          <w:szCs w:val="22"/>
        </w:rPr>
        <w:t>How much influence do you think you have on your own health, by the way you choose to live your life</w:t>
      </w:r>
      <w:r>
        <w:rPr>
          <w:rFonts w:asciiTheme="minorHAnsi" w:hAnsiTheme="minorHAnsi" w:cstheme="minorHAnsi"/>
          <w:b/>
          <w:sz w:val="22"/>
          <w:szCs w:val="22"/>
        </w:rPr>
        <w:t xml:space="preserve"> </w:t>
      </w:r>
      <w:r w:rsidR="00485449">
        <w:rPr>
          <w:rFonts w:asciiTheme="minorHAnsi" w:hAnsiTheme="minorHAnsi" w:cstheme="minorHAnsi"/>
          <w:b/>
          <w:sz w:val="22"/>
          <w:szCs w:val="22"/>
        </w:rPr>
        <w:t>–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85449" w:rsidRPr="00EB5B0E" w:rsidTr="008B5D9B">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85449" w:rsidRPr="00BE1A84" w:rsidRDefault="00485449" w:rsidP="008B5D9B">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85449" w:rsidRPr="00EB5B0E" w:rsidRDefault="00485449" w:rsidP="008B5D9B">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85449" w:rsidRPr="00EB5B0E" w:rsidRDefault="00485449" w:rsidP="008B5D9B">
            <w:pPr>
              <w:jc w:val="center"/>
              <w:rPr>
                <w:rFonts w:ascii="Calibri" w:hAnsi="Calibri" w:cs="Calibri"/>
                <w:b/>
                <w:bCs/>
                <w:color w:val="000000"/>
                <w:lang w:eastAsia="en-GB"/>
              </w:rPr>
            </w:pPr>
            <w:r>
              <w:rPr>
                <w:rFonts w:ascii="Calibri" w:hAnsi="Calibri" w:cs="Calibri"/>
                <w:b/>
                <w:bCs/>
                <w:color w:val="000000"/>
                <w:lang w:eastAsia="en-GB"/>
              </w:rPr>
              <w:t>Age</w:t>
            </w:r>
          </w:p>
        </w:tc>
      </w:tr>
      <w:tr w:rsidR="00485449" w:rsidTr="008B5D9B">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85449" w:rsidRPr="00462493" w:rsidRDefault="00485449" w:rsidP="008B5D9B">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85449" w:rsidRPr="00462493" w:rsidRDefault="00485449" w:rsidP="008B5D9B">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85449" w:rsidRDefault="00485449" w:rsidP="008B5D9B">
            <w:pPr>
              <w:rPr>
                <w:rFonts w:ascii="Calibri" w:hAnsi="Calibri" w:cs="Calibri"/>
                <w:b/>
                <w:bCs/>
                <w:color w:val="000000"/>
              </w:rPr>
            </w:pPr>
            <w:r>
              <w:rPr>
                <w:rFonts w:ascii="Calibri" w:hAnsi="Calibri" w:cs="Calibri"/>
                <w:b/>
                <w:bCs/>
                <w:color w:val="000000"/>
              </w:rPr>
              <w:t>75+</w:t>
            </w:r>
          </w:p>
        </w:tc>
      </w:tr>
      <w:tr w:rsidR="00C53891" w:rsidTr="008B5D9B">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C53891" w:rsidRDefault="00C53891" w:rsidP="008B5D9B">
            <w:pPr>
              <w:rPr>
                <w:rFonts w:ascii="Calibri" w:hAnsi="Calibri" w:cs="Calibri"/>
                <w:b/>
                <w:bCs/>
                <w:color w:val="000000"/>
              </w:rPr>
            </w:pPr>
            <w:r>
              <w:rPr>
                <w:rFonts w:ascii="Calibri" w:hAnsi="Calibri" w:cs="Calibri"/>
                <w:b/>
                <w:bCs/>
                <w:color w:val="000000"/>
              </w:rPr>
              <w:t>A great deal</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56</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64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60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60</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52</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62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63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48</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40</w:t>
            </w:r>
          </w:p>
        </w:tc>
      </w:tr>
      <w:tr w:rsidR="00C53891" w:rsidTr="008B5D9B">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C53891" w:rsidRDefault="00C53891" w:rsidP="008B5D9B">
            <w:pPr>
              <w:rPr>
                <w:rFonts w:ascii="Calibri" w:hAnsi="Calibri" w:cs="Calibri"/>
                <w:b/>
                <w:bCs/>
                <w:color w:val="000000"/>
              </w:rPr>
            </w:pPr>
            <w:r>
              <w:rPr>
                <w:rFonts w:ascii="Calibri" w:hAnsi="Calibri" w:cs="Calibri"/>
                <w:b/>
                <w:bCs/>
                <w:color w:val="000000"/>
              </w:rPr>
              <w:t>Quite a lot</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35</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27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36</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41</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31</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36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40</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46</w:t>
            </w:r>
          </w:p>
        </w:tc>
      </w:tr>
      <w:tr w:rsidR="00C53891" w:rsidTr="008B5D9B">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C53891" w:rsidRDefault="00C53891" w:rsidP="008B5D9B">
            <w:pPr>
              <w:rPr>
                <w:rFonts w:ascii="Calibri" w:hAnsi="Calibri" w:cs="Calibri"/>
                <w:b/>
                <w:bCs/>
                <w:color w:val="000000"/>
              </w:rPr>
            </w:pPr>
            <w:r>
              <w:rPr>
                <w:rFonts w:ascii="Calibri" w:hAnsi="Calibri" w:cs="Calibri"/>
                <w:b/>
                <w:bCs/>
                <w:color w:val="000000"/>
              </w:rPr>
              <w:t>A little / None</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10</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C53891" w:rsidRDefault="00C53891">
            <w:pPr>
              <w:jc w:val="right"/>
              <w:rPr>
                <w:rFonts w:ascii="Calibri" w:hAnsi="Calibri" w:cs="Calibri"/>
                <w:color w:val="000000"/>
                <w:sz w:val="22"/>
                <w:szCs w:val="22"/>
              </w:rPr>
            </w:pPr>
            <w:r>
              <w:rPr>
                <w:rFonts w:ascii="Calibri" w:hAnsi="Calibri" w:cs="Calibri"/>
                <w:color w:val="000000"/>
                <w:sz w:val="22"/>
                <w:szCs w:val="22"/>
              </w:rPr>
              <w:t>5</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7</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13</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C53891" w:rsidRDefault="00C53891">
            <w:pPr>
              <w:jc w:val="right"/>
              <w:rPr>
                <w:rFonts w:ascii="Calibri" w:hAnsi="Calibri" w:cs="Calibri"/>
                <w:color w:val="000000"/>
                <w:sz w:val="22"/>
                <w:szCs w:val="22"/>
              </w:rPr>
            </w:pPr>
            <w:r>
              <w:rPr>
                <w:rFonts w:ascii="Calibri" w:hAnsi="Calibri" w:cs="Calibri"/>
                <w:color w:val="000000"/>
                <w:sz w:val="22"/>
                <w:szCs w:val="22"/>
              </w:rPr>
              <w:t>14</w:t>
            </w:r>
          </w:p>
        </w:tc>
      </w:tr>
    </w:tbl>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5B7FCD" w:rsidRDefault="005B7FCD" w:rsidP="00175B90">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66" w:name="_Ref381946763"/>
      <w:bookmarkStart w:id="67" w:name="_Ref381946665"/>
      <w:r w:rsidRPr="00364AA3">
        <w:rPr>
          <w:rFonts w:asciiTheme="minorHAnsi" w:hAnsiTheme="minorHAnsi" w:cstheme="minorHAnsi"/>
          <w:color w:val="auto"/>
          <w:sz w:val="22"/>
          <w:szCs w:val="22"/>
        </w:rPr>
        <w:t>Inpatients – All respondents</w:t>
      </w:r>
      <w:bookmarkEnd w:id="66"/>
    </w:p>
    <w:tbl>
      <w:tblPr>
        <w:tblW w:w="14781" w:type="dxa"/>
        <w:tblInd w:w="93" w:type="dxa"/>
        <w:tblLook w:val="04A0" w:firstRow="1" w:lastRow="0" w:firstColumn="1" w:lastColumn="0" w:noHBand="0" w:noVBand="1"/>
      </w:tblPr>
      <w:tblGrid>
        <w:gridCol w:w="147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47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color w:val="000000"/>
                <w:sz w:val="18"/>
                <w:szCs w:val="18"/>
                <w:lang w:eastAsia="en-GB"/>
              </w:rPr>
              <w:t>Attended hospital as inpatient during last year</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r>
      <w:tr w:rsidR="00684604" w:rsidTr="00F3746F">
        <w:trPr>
          <w:trHeight w:val="300"/>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sidRPr="00681CF2">
              <w:rPr>
                <w:rFonts w:ascii="Calibri" w:hAnsi="Calibri" w:cs="Calibri"/>
                <w:b/>
                <w:color w:val="000000"/>
                <w:lang w:eastAsia="en-GB"/>
              </w:rPr>
              <w:t>Of those who attended hospital as inpatient</w:t>
            </w:r>
          </w:p>
        </w:tc>
      </w:tr>
      <w:tr w:rsidR="00684604" w:rsidTr="00F3746F">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sidRPr="00681CF2">
              <w:rPr>
                <w:rFonts w:ascii="Calibri" w:hAnsi="Calibri" w:cs="Calibri"/>
                <w:b/>
                <w:color w:val="000000"/>
                <w:lang w:eastAsia="en-GB"/>
              </w:rPr>
              <w:t>Planned admission</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Emergency admission through A&amp;E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r>
      <w:tr w:rsidR="00684604" w:rsidTr="00F3746F">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Emergency admission not through A&amp;E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Those who were admitted as emergency through Accident and Emergency </w:t>
      </w:r>
    </w:p>
    <w:tbl>
      <w:tblPr>
        <w:tblW w:w="14781" w:type="dxa"/>
        <w:tblInd w:w="93" w:type="dxa"/>
        <w:tblLook w:val="04A0" w:firstRow="1" w:lastRow="0" w:firstColumn="1" w:lastColumn="0" w:noHBand="0" w:noVBand="1"/>
      </w:tblPr>
      <w:tblGrid>
        <w:gridCol w:w="147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55"/>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73799B">
              <w:rPr>
                <w:rFonts w:ascii="Calibri" w:hAnsi="Calibri" w:cs="Calibri"/>
                <w:color w:val="000000"/>
                <w:sz w:val="22"/>
                <w:szCs w:val="22"/>
              </w:rPr>
              <w:t>Length of time waited before admission</w:t>
            </w:r>
          </w:p>
        </w:tc>
      </w:tr>
      <w:tr w:rsidR="00684604" w:rsidTr="00F3746F">
        <w:trPr>
          <w:trHeight w:val="255"/>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&lt;1 hour</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r>
      <w:tr w:rsidR="00684604" w:rsidTr="00F3746F">
        <w:trPr>
          <w:trHeight w:val="255"/>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1-4 hours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r>
      <w:tr w:rsidR="00684604" w:rsidTr="00F3746F">
        <w:trPr>
          <w:trHeight w:val="255"/>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4-8 hours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r>
      <w:tr w:rsidR="00684604" w:rsidTr="00F3746F">
        <w:trPr>
          <w:trHeight w:val="255"/>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&gt;8 hours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r>
      <w:tr w:rsidR="00684604" w:rsidTr="00F3746F">
        <w:trPr>
          <w:trHeight w:val="255"/>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Pr>
                <w:rFonts w:ascii="Calibri" w:hAnsi="Calibri" w:cs="Calibri"/>
                <w:b/>
                <w:bCs/>
                <w:color w:val="000000"/>
              </w:rPr>
              <w:t>Mostly waited in</w:t>
            </w:r>
          </w:p>
        </w:tc>
      </w:tr>
      <w:tr w:rsidR="00684604" w:rsidTr="00F3746F">
        <w:trPr>
          <w:trHeight w:val="255"/>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A cubicle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r>
      <w:tr w:rsidR="00684604" w:rsidTr="00F3746F">
        <w:trPr>
          <w:trHeight w:val="255"/>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Open plan area</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r>
      <w:tr w:rsidR="00684604" w:rsidTr="00F3746F">
        <w:trPr>
          <w:trHeight w:val="255"/>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A corridor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r>
      <w:tr w:rsidR="00684604" w:rsidTr="00F3746F">
        <w:trPr>
          <w:trHeight w:val="255"/>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Pr>
                <w:rFonts w:ascii="Calibri" w:hAnsi="Calibri" w:cs="Calibri"/>
                <w:b/>
                <w:bCs/>
                <w:color w:val="000000"/>
              </w:rPr>
              <w:t>Rating of treatment while in A&amp;E</w:t>
            </w:r>
          </w:p>
        </w:tc>
      </w:tr>
      <w:tr w:rsidR="00684604" w:rsidTr="00F3746F">
        <w:trPr>
          <w:trHeight w:val="255"/>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r>
      <w:tr w:rsidR="00684604" w:rsidTr="00F3746F">
        <w:trPr>
          <w:trHeight w:val="255"/>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r>
      <w:tr w:rsidR="00684604" w:rsidTr="00F3746F">
        <w:trPr>
          <w:trHeight w:val="255"/>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r>
      <w:tr w:rsidR="00684604" w:rsidTr="00F3746F">
        <w:trPr>
          <w:trHeight w:val="255"/>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Those who were planned admissions or waiting list</w:t>
      </w:r>
    </w:p>
    <w:tbl>
      <w:tblPr>
        <w:tblW w:w="14781" w:type="dxa"/>
        <w:tblInd w:w="93" w:type="dxa"/>
        <w:tblLook w:val="04A0" w:firstRow="1" w:lastRow="0" w:firstColumn="1" w:lastColumn="0" w:noHBand="0" w:noVBand="1"/>
      </w:tblPr>
      <w:tblGrid>
        <w:gridCol w:w="147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73799B">
              <w:rPr>
                <w:rFonts w:ascii="Calibri" w:hAnsi="Calibri" w:cs="Calibri"/>
                <w:color w:val="000000"/>
                <w:sz w:val="22"/>
                <w:szCs w:val="22"/>
              </w:rPr>
              <w:t>Length of time waited before admission</w:t>
            </w:r>
          </w:p>
        </w:tc>
      </w:tr>
      <w:tr w:rsidR="00684604" w:rsidTr="00F3746F">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Up to 1 month</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1 to 2 months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3 to 6 months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r>
      <w:tr w:rsidR="00684604" w:rsidTr="00F3746F">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Over 6 months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r>
      <w:tr w:rsidR="00684604" w:rsidTr="00F3746F">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rPr>
            </w:pPr>
            <w:r w:rsidRPr="00520113">
              <w:rPr>
                <w:rFonts w:ascii="Calibri" w:hAnsi="Calibri" w:cs="Calibri"/>
                <w:b/>
                <w:bCs/>
                <w:color w:val="000000"/>
              </w:rPr>
              <w:t xml:space="preserve">Symptoms worsened while waiting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rPr>
            </w:pPr>
            <w:r w:rsidRPr="00520113">
              <w:rPr>
                <w:rFonts w:ascii="Calibri" w:hAnsi="Calibri" w:cs="Calibri"/>
                <w:b/>
                <w:bCs/>
                <w:color w:val="000000"/>
              </w:rPr>
              <w:t>I was admitted as soon as I thought was necessary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r>
      <w:tr w:rsidR="00684604" w:rsidTr="00F3746F">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rPr>
            </w:pPr>
            <w:r w:rsidRPr="00520113">
              <w:rPr>
                <w:rFonts w:ascii="Calibri" w:hAnsi="Calibri" w:cs="Calibri"/>
                <w:b/>
                <w:bCs/>
                <w:color w:val="000000"/>
              </w:rPr>
              <w:t>Given enough notice of date for admission</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r>
      <w:tr w:rsidR="00684604" w:rsidTr="00F3746F">
        <w:trPr>
          <w:trHeight w:val="300"/>
        </w:trPr>
        <w:tc>
          <w:tcPr>
            <w:tcW w:w="1478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Pr>
                <w:rFonts w:ascii="Calibri" w:hAnsi="Calibri" w:cs="Calibri"/>
                <w:b/>
                <w:bCs/>
                <w:color w:val="000000"/>
              </w:rPr>
              <w:t>Rating of how hospital managed the period between deciding to admit you and actual admission</w:t>
            </w:r>
          </w:p>
        </w:tc>
      </w:tr>
      <w:tr w:rsidR="00684604" w:rsidTr="00F3746F">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r>
      <w:tr w:rsidR="00684604" w:rsidTr="00F3746F">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r>
      <w:tr w:rsidR="00684604" w:rsidTr="00F3746F">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Inpatient Experience – All inpatients who strongly agreed or agreed with the statements about their stay in hospital</w:t>
      </w:r>
    </w:p>
    <w:tbl>
      <w:tblPr>
        <w:tblW w:w="15235" w:type="dxa"/>
        <w:tblLook w:val="04A0" w:firstRow="1" w:lastRow="0" w:firstColumn="1" w:lastColumn="0" w:noHBand="0" w:noVBand="1"/>
      </w:tblPr>
      <w:tblGrid>
        <w:gridCol w:w="1928"/>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928"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540"/>
        </w:trPr>
        <w:tc>
          <w:tcPr>
            <w:tcW w:w="1928"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27"/>
        </w:trPr>
        <w:tc>
          <w:tcPr>
            <w:tcW w:w="192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color w:val="000000"/>
                <w:sz w:val="18"/>
                <w:szCs w:val="18"/>
                <w:lang w:eastAsia="en-GB"/>
              </w:rPr>
            </w:pPr>
            <w:r w:rsidRPr="004E2A30">
              <w:rPr>
                <w:rFonts w:ascii="Calibri" w:hAnsi="Calibri" w:cs="Calibri"/>
                <w:b/>
                <w:color w:val="000000"/>
                <w:sz w:val="18"/>
                <w:szCs w:val="18"/>
                <w:lang w:eastAsia="en-GB"/>
              </w:rPr>
              <w:t>Ward / room was clean</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color w:val="000000"/>
                <w:sz w:val="18"/>
                <w:szCs w:val="18"/>
                <w:lang w:eastAsia="en-GB"/>
              </w:rPr>
            </w:pPr>
            <w:r w:rsidRPr="004E2A30">
              <w:rPr>
                <w:rFonts w:ascii="Calibri" w:hAnsi="Calibri" w:cs="Calibri"/>
                <w:b/>
                <w:color w:val="000000"/>
                <w:sz w:val="18"/>
                <w:szCs w:val="18"/>
                <w:lang w:eastAsia="en-GB"/>
              </w:rPr>
              <w:t>Bathroom / toilets were clean</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color w:val="000000"/>
                <w:sz w:val="18"/>
                <w:szCs w:val="18"/>
                <w:lang w:eastAsia="en-GB"/>
              </w:rPr>
            </w:pPr>
            <w:r w:rsidRPr="004E2A30">
              <w:rPr>
                <w:rFonts w:ascii="Calibri" w:hAnsi="Calibri" w:cs="Calibri"/>
                <w:b/>
                <w:color w:val="000000"/>
                <w:sz w:val="18"/>
                <w:szCs w:val="18"/>
                <w:lang w:eastAsia="en-GB"/>
              </w:rPr>
              <w:t>Happy with the food &amp; drink received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Received assistance in a reasonable time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7"/>
                <w:szCs w:val="17"/>
              </w:rPr>
            </w:pPr>
            <w:r w:rsidRPr="004E2A30">
              <w:rPr>
                <w:rFonts w:ascii="Calibri" w:hAnsi="Calibri" w:cs="Calibri"/>
                <w:b/>
                <w:bCs/>
                <w:color w:val="000000"/>
                <w:sz w:val="17"/>
                <w:szCs w:val="17"/>
              </w:rPr>
              <w:t>Adequate pain relief available when required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Given privacy when being examined or treated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r>
      <w:tr w:rsidR="00684604" w:rsidTr="00F3746F">
        <w:trPr>
          <w:trHeight w:val="300"/>
        </w:trPr>
        <w:tc>
          <w:tcPr>
            <w:tcW w:w="1928"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Given privacy when condition / treatment was discussed</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r>
    </w:tbl>
    <w:p w:rsidR="00684604" w:rsidRDefault="00684604" w:rsidP="00F3746F">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Inpatient Opinion on Medical Staff – All inpatients who strongly agreed or agreed with the statements about medical staff</w:t>
      </w:r>
    </w:p>
    <w:tbl>
      <w:tblPr>
        <w:tblW w:w="15235" w:type="dxa"/>
        <w:tblLook w:val="04A0" w:firstRow="1" w:lastRow="0" w:firstColumn="1" w:lastColumn="0" w:noHBand="0" w:noVBand="1"/>
      </w:tblPr>
      <w:tblGrid>
        <w:gridCol w:w="1928"/>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928"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540"/>
        </w:trPr>
        <w:tc>
          <w:tcPr>
            <w:tcW w:w="1928"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92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Enough time to talk to medical staff</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Explained risks / benefits of treatment in a way I could understand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Talked in a way that helped me understand my condition and treatment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Told me how operation / procedure had gone in a way I could understand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r>
      <w:tr w:rsidR="00684604" w:rsidTr="00F3746F">
        <w:trPr>
          <w:trHeight w:val="300"/>
        </w:trPr>
        <w:tc>
          <w:tcPr>
            <w:tcW w:w="192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Talked in front of me as if I was not there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r>
      <w:tr w:rsidR="00684604" w:rsidTr="00F3746F">
        <w:trPr>
          <w:trHeight w:val="300"/>
        </w:trPr>
        <w:tc>
          <w:tcPr>
            <w:tcW w:w="1928"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E2A30" w:rsidRDefault="00684604" w:rsidP="00F3746F">
            <w:pPr>
              <w:jc w:val="left"/>
              <w:rPr>
                <w:rFonts w:ascii="Calibri" w:hAnsi="Calibri" w:cs="Calibri"/>
                <w:b/>
                <w:bCs/>
                <w:color w:val="000000"/>
                <w:sz w:val="18"/>
                <w:szCs w:val="18"/>
              </w:rPr>
            </w:pPr>
            <w:r w:rsidRPr="004E2A30">
              <w:rPr>
                <w:rFonts w:ascii="Calibri" w:hAnsi="Calibri" w:cs="Calibri"/>
                <w:b/>
                <w:bCs/>
                <w:color w:val="000000"/>
                <w:sz w:val="18"/>
                <w:szCs w:val="18"/>
              </w:rPr>
              <w:t>Listened to me if I had questions / concerns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Inpatient Discharge Experience – All inpatients who strongly agreed or agreed with the statements about their discharge from hospital</w:t>
      </w:r>
    </w:p>
    <w:tbl>
      <w:tblPr>
        <w:tblW w:w="15121"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H</w:t>
            </w:r>
            <w:r>
              <w:rPr>
                <w:rFonts w:ascii="Calibri" w:hAnsi="Calibri" w:cs="Calibri"/>
                <w:b/>
                <w:bCs/>
                <w:color w:val="000000"/>
                <w:sz w:val="18"/>
                <w:szCs w:val="18"/>
              </w:rPr>
              <w:t xml:space="preserve">ome situation </w:t>
            </w:r>
            <w:r w:rsidRPr="00520113">
              <w:rPr>
                <w:rFonts w:ascii="Calibri" w:hAnsi="Calibri" w:cs="Calibri"/>
                <w:b/>
                <w:bCs/>
                <w:color w:val="000000"/>
                <w:sz w:val="18"/>
                <w:szCs w:val="18"/>
              </w:rPr>
              <w:t>taken into account when planning for discharge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 xml:space="preserve">Happy with length of wait when </w:t>
            </w:r>
            <w:r>
              <w:rPr>
                <w:rFonts w:ascii="Calibri" w:hAnsi="Calibri" w:cs="Calibri"/>
                <w:b/>
                <w:bCs/>
                <w:color w:val="000000"/>
                <w:sz w:val="18"/>
                <w:szCs w:val="18"/>
              </w:rPr>
              <w:t xml:space="preserve">told </w:t>
            </w:r>
            <w:r w:rsidRPr="00520113">
              <w:rPr>
                <w:rFonts w:ascii="Calibri" w:hAnsi="Calibri" w:cs="Calibri"/>
                <w:b/>
                <w:bCs/>
                <w:color w:val="000000"/>
                <w:sz w:val="18"/>
                <w:szCs w:val="18"/>
              </w:rPr>
              <w:t>could go home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Theme="minorHAnsi" w:hAnsiTheme="minorHAnsi" w:cstheme="minorHAnsi"/>
                <w:b/>
                <w:color w:val="000000"/>
                <w:sz w:val="18"/>
                <w:szCs w:val="18"/>
                <w:lang w:eastAsia="en-GB"/>
              </w:rPr>
              <w:t>Medicines required before discharge were given in time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Given help arranging transport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 xml:space="preserve">Knew who to contact </w:t>
            </w:r>
            <w:r>
              <w:rPr>
                <w:rFonts w:ascii="Calibri" w:hAnsi="Calibri" w:cs="Calibri"/>
                <w:b/>
                <w:bCs/>
                <w:color w:val="000000"/>
                <w:sz w:val="18"/>
                <w:szCs w:val="18"/>
              </w:rPr>
              <w:t>with</w:t>
            </w:r>
            <w:r w:rsidRPr="00520113">
              <w:rPr>
                <w:rFonts w:ascii="Calibri" w:hAnsi="Calibri" w:cs="Calibri"/>
                <w:b/>
                <w:bCs/>
                <w:color w:val="000000"/>
                <w:sz w:val="18"/>
                <w:szCs w:val="18"/>
              </w:rPr>
              <w:t xml:space="preserve"> any questions after discharge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Told about danger signals to watch for when I got home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sidRPr="00520113">
              <w:rPr>
                <w:rFonts w:ascii="Calibri" w:hAnsi="Calibri" w:cs="Calibri"/>
                <w:b/>
                <w:bCs/>
                <w:color w:val="000000"/>
                <w:sz w:val="18"/>
                <w:szCs w:val="18"/>
              </w:rPr>
              <w:t>Given advice on how to look after myself</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r>
      <w:tr w:rsidR="00684604" w:rsidTr="00F3746F">
        <w:trPr>
          <w:trHeight w:val="300"/>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H</w:t>
            </w:r>
            <w:r w:rsidRPr="00520113">
              <w:rPr>
                <w:rFonts w:ascii="Calibri" w:hAnsi="Calibri" w:cs="Calibri"/>
                <w:b/>
                <w:bCs/>
                <w:color w:val="000000"/>
                <w:sz w:val="18"/>
                <w:szCs w:val="18"/>
              </w:rPr>
              <w:t xml:space="preserve">elp </w:t>
            </w:r>
            <w:r>
              <w:rPr>
                <w:rFonts w:ascii="Calibri" w:hAnsi="Calibri" w:cs="Calibri"/>
                <w:b/>
                <w:bCs/>
                <w:color w:val="000000"/>
                <w:sz w:val="18"/>
                <w:szCs w:val="18"/>
              </w:rPr>
              <w:t>requir</w:t>
            </w:r>
            <w:r w:rsidRPr="00520113">
              <w:rPr>
                <w:rFonts w:ascii="Calibri" w:hAnsi="Calibri" w:cs="Calibri"/>
                <w:b/>
                <w:bCs/>
                <w:color w:val="000000"/>
                <w:sz w:val="18"/>
                <w:szCs w:val="18"/>
              </w:rPr>
              <w:t xml:space="preserve">ed </w:t>
            </w:r>
            <w:r>
              <w:rPr>
                <w:rFonts w:ascii="Calibri" w:hAnsi="Calibri" w:cs="Calibri"/>
                <w:b/>
                <w:bCs/>
                <w:color w:val="000000"/>
                <w:sz w:val="18"/>
                <w:szCs w:val="18"/>
              </w:rPr>
              <w:t xml:space="preserve">was </w:t>
            </w:r>
            <w:r w:rsidRPr="00520113">
              <w:rPr>
                <w:rFonts w:ascii="Calibri" w:hAnsi="Calibri" w:cs="Calibri"/>
                <w:b/>
                <w:bCs/>
                <w:color w:val="000000"/>
                <w:sz w:val="18"/>
                <w:szCs w:val="18"/>
              </w:rPr>
              <w:t xml:space="preserve">arranged for </w:t>
            </w:r>
            <w:r>
              <w:rPr>
                <w:rFonts w:ascii="Calibri" w:hAnsi="Calibri" w:cs="Calibri"/>
                <w:b/>
                <w:bCs/>
                <w:color w:val="000000"/>
                <w:sz w:val="18"/>
                <w:szCs w:val="18"/>
              </w:rPr>
              <w:t>leaving</w:t>
            </w:r>
            <w:r w:rsidRPr="00520113">
              <w:rPr>
                <w:rFonts w:ascii="Calibri" w:hAnsi="Calibri" w:cs="Calibri"/>
                <w:b/>
                <w:bCs/>
                <w:color w:val="000000"/>
                <w:sz w:val="18"/>
                <w:szCs w:val="18"/>
              </w:rPr>
              <w:t xml:space="preserve"> hospital</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r>
      <w:tr w:rsidR="00684604" w:rsidTr="00F3746F">
        <w:trPr>
          <w:trHeight w:val="227"/>
        </w:trPr>
        <w:tc>
          <w:tcPr>
            <w:tcW w:w="15121"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520113">
              <w:rPr>
                <w:rFonts w:ascii="Calibri" w:hAnsi="Calibri" w:cs="Calibri"/>
                <w:b/>
                <w:bCs/>
                <w:color w:val="000000"/>
                <w:sz w:val="18"/>
                <w:szCs w:val="18"/>
              </w:rPr>
              <w:t>Rating of discharge arrangements</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rPr>
                <w:rFonts w:ascii="Calibri" w:hAnsi="Calibri" w:cs="Calibri"/>
                <w:b/>
                <w:bCs/>
                <w:color w:val="000000"/>
                <w:sz w:val="18"/>
                <w:szCs w:val="18"/>
              </w:rPr>
            </w:pPr>
            <w:r w:rsidRPr="00520113">
              <w:rPr>
                <w:rFonts w:ascii="Calibri" w:hAnsi="Calibri" w:cs="Calibri"/>
                <w:b/>
                <w:bCs/>
                <w:color w:val="000000"/>
                <w:sz w:val="18"/>
                <w:szCs w:val="18"/>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rPr>
                <w:rFonts w:ascii="Calibri" w:hAnsi="Calibri" w:cs="Calibri"/>
                <w:b/>
                <w:bCs/>
                <w:color w:val="000000"/>
                <w:sz w:val="18"/>
                <w:szCs w:val="18"/>
              </w:rPr>
            </w:pPr>
            <w:r w:rsidRPr="00520113">
              <w:rPr>
                <w:rFonts w:ascii="Calibri" w:hAnsi="Calibri" w:cs="Calibri"/>
                <w:b/>
                <w:bCs/>
                <w:color w:val="000000"/>
                <w:sz w:val="18"/>
                <w:szCs w:val="18"/>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rPr>
                <w:rFonts w:ascii="Calibri" w:hAnsi="Calibri" w:cs="Calibri"/>
                <w:b/>
                <w:bCs/>
                <w:color w:val="000000"/>
                <w:sz w:val="18"/>
                <w:szCs w:val="18"/>
              </w:rPr>
            </w:pPr>
            <w:r w:rsidRPr="00520113">
              <w:rPr>
                <w:rFonts w:ascii="Calibri" w:hAnsi="Calibri" w:cs="Calibri"/>
                <w:b/>
                <w:bCs/>
                <w:color w:val="000000"/>
                <w:sz w:val="18"/>
                <w:szCs w:val="18"/>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r>
      <w:tr w:rsidR="00684604" w:rsidTr="00F3746F">
        <w:trPr>
          <w:trHeight w:val="283"/>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20113" w:rsidRDefault="00684604" w:rsidP="00F3746F">
            <w:pPr>
              <w:rPr>
                <w:rFonts w:ascii="Calibri" w:hAnsi="Calibri" w:cs="Calibri"/>
                <w:b/>
                <w:bCs/>
                <w:color w:val="000000"/>
                <w:sz w:val="18"/>
                <w:szCs w:val="18"/>
              </w:rPr>
            </w:pPr>
            <w:r w:rsidRPr="00520113">
              <w:rPr>
                <w:rFonts w:ascii="Calibri" w:hAnsi="Calibri" w:cs="Calibri"/>
                <w:b/>
                <w:bCs/>
                <w:color w:val="000000"/>
                <w:sz w:val="18"/>
                <w:szCs w:val="18"/>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Overall Inpatient Experience – All inpatients who strongly agreed or agreed with the statements about their discharge from hospital</w:t>
      </w:r>
    </w:p>
    <w:tbl>
      <w:tblPr>
        <w:tblW w:w="15232"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551"/>
        <w:gridCol w:w="440"/>
        <w:gridCol w:w="440"/>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551"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B4F5A" w:rsidRDefault="00684604" w:rsidP="00F3746F">
            <w:pPr>
              <w:jc w:val="left"/>
              <w:rPr>
                <w:rFonts w:ascii="Calibri" w:hAnsi="Calibri" w:cs="Calibri"/>
                <w:b/>
                <w:bCs/>
                <w:color w:val="000000"/>
                <w:sz w:val="18"/>
                <w:szCs w:val="18"/>
              </w:rPr>
            </w:pPr>
            <w:r w:rsidRPr="007B4F5A">
              <w:rPr>
                <w:rFonts w:ascii="Calibri" w:hAnsi="Calibri" w:cs="Calibri"/>
                <w:b/>
                <w:bCs/>
                <w:color w:val="000000"/>
                <w:sz w:val="18"/>
                <w:szCs w:val="18"/>
              </w:rPr>
              <w:t>Treated with respect and dignity while in hospital</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3EDA" w:rsidRDefault="00684604" w:rsidP="00F3746F">
            <w:pPr>
              <w:jc w:val="left"/>
              <w:rPr>
                <w:rFonts w:ascii="Calibri" w:hAnsi="Calibri" w:cs="Calibri"/>
                <w:b/>
                <w:bCs/>
                <w:color w:val="000000"/>
                <w:sz w:val="18"/>
                <w:szCs w:val="18"/>
              </w:rPr>
            </w:pPr>
            <w:r w:rsidRPr="00C53EDA">
              <w:rPr>
                <w:rFonts w:ascii="Calibri" w:hAnsi="Calibri" w:cs="Calibri"/>
                <w:b/>
                <w:bCs/>
                <w:color w:val="000000"/>
                <w:sz w:val="18"/>
                <w:szCs w:val="18"/>
              </w:rPr>
              <w:t xml:space="preserve">Was involved in decisions about care / treatment as much as I wanted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650139">
              <w:rPr>
                <w:rFonts w:ascii="Calibri" w:hAnsi="Calibri" w:cs="Calibri"/>
                <w:b/>
                <w:bCs/>
                <w:color w:val="000000"/>
                <w:sz w:val="18"/>
                <w:szCs w:val="18"/>
              </w:rPr>
              <w:t>Rating of how well the health and social care staff worked together</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r>
      <w:tr w:rsidR="00684604" w:rsidTr="00F3746F">
        <w:trPr>
          <w:trHeight w:val="283"/>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551"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0</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C53EDA" w:rsidRDefault="00684604" w:rsidP="00F3746F">
            <w:pPr>
              <w:rPr>
                <w:rFonts w:ascii="Calibri" w:hAnsi="Calibri" w:cs="Calibri"/>
                <w:b/>
                <w:color w:val="000000"/>
                <w:sz w:val="18"/>
                <w:szCs w:val="18"/>
              </w:rPr>
            </w:pPr>
            <w:r w:rsidRPr="00C53EDA">
              <w:rPr>
                <w:rFonts w:ascii="Calibri" w:hAnsi="Calibri" w:cs="Calibri"/>
                <w:b/>
                <w:bCs/>
                <w:color w:val="000000"/>
                <w:sz w:val="18"/>
                <w:szCs w:val="18"/>
              </w:rPr>
              <w:t>Rating of Overall Care Received</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68" w:name="_Ref381946771"/>
      <w:r w:rsidRPr="00364AA3">
        <w:rPr>
          <w:rFonts w:asciiTheme="minorHAnsi" w:hAnsiTheme="minorHAnsi" w:cstheme="minorHAnsi"/>
          <w:color w:val="auto"/>
          <w:sz w:val="22"/>
          <w:szCs w:val="22"/>
        </w:rPr>
        <w:t>Outpatient Experience – Wait for appointment</w:t>
      </w:r>
      <w:bookmarkEnd w:id="68"/>
    </w:p>
    <w:tbl>
      <w:tblPr>
        <w:tblW w:w="15232"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551"/>
        <w:gridCol w:w="440"/>
        <w:gridCol w:w="440"/>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551"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Attended hospital as an outpatient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Pr>
                <w:rFonts w:ascii="Calibri" w:hAnsi="Calibri" w:cs="Calibri"/>
                <w:b/>
                <w:bCs/>
                <w:color w:val="000000"/>
              </w:rPr>
              <w:t>Of those who attended hospital as an outpatient - length of wait for appointment</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Up to 1 month</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Between 1 and 3 months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Between 3 and 12 months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r>
      <w:tr w:rsidR="00684604" w:rsidTr="00F3746F">
        <w:trPr>
          <w:trHeight w:val="283"/>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More than 12 months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51"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C53EDA" w:rsidRDefault="00684604" w:rsidP="00F3746F">
            <w:pPr>
              <w:jc w:val="left"/>
              <w:rPr>
                <w:rFonts w:ascii="Calibri" w:hAnsi="Calibri" w:cs="Calibri"/>
                <w:b/>
                <w:color w:val="000000"/>
                <w:sz w:val="18"/>
                <w:szCs w:val="18"/>
              </w:rPr>
            </w:pPr>
            <w:r>
              <w:rPr>
                <w:rFonts w:ascii="Calibri" w:hAnsi="Calibri" w:cs="Calibri"/>
                <w:b/>
                <w:bCs/>
                <w:color w:val="000000"/>
              </w:rPr>
              <w:t>Were you given a choice of appointment times</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Yes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No, but I did not need/want a choice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No, but I would have liked a choice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Pr>
                <w:rFonts w:ascii="Calibri" w:hAnsi="Calibri" w:cs="Calibri"/>
                <w:b/>
                <w:bCs/>
                <w:color w:val="000000"/>
              </w:rPr>
              <w:t>Was your appointment changed to a later date by the hospital</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No</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Yes, once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Yes, 2 or more times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 xml:space="preserve">Symptoms worsened while waiting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I was admitted as soon as I thought was necessary</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Kept informed of the outcome of your appointment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Of those informed: Length of time waited for outcome of appointment reasonable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Outpatient Discharge Experience – All inpatients who strongly agreed or agreed with the statements about their discharge from hospital</w:t>
      </w:r>
    </w:p>
    <w:tbl>
      <w:tblPr>
        <w:tblW w:w="15121"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Knew who to contact with any questions after discharge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Told about danger signals to watch for when I got home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Given advice on how to look after myself</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r>
      <w:tr w:rsidR="00684604" w:rsidTr="00F3746F">
        <w:trPr>
          <w:trHeight w:val="300"/>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Help required was arranged for leaving hospital</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Outpatient Experience </w:t>
      </w:r>
    </w:p>
    <w:tbl>
      <w:tblPr>
        <w:tblW w:w="15232"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551"/>
        <w:gridCol w:w="440"/>
        <w:gridCol w:w="440"/>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551"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Treated with respect and dignity while in hospital</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 xml:space="preserve">Was involved in decisions about care / treatment as much as I wanted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650139">
              <w:rPr>
                <w:rFonts w:ascii="Calibri" w:hAnsi="Calibri" w:cs="Calibri"/>
                <w:b/>
                <w:bCs/>
                <w:color w:val="000000"/>
                <w:sz w:val="18"/>
                <w:szCs w:val="18"/>
              </w:rPr>
              <w:t>Rating of how well the health and social care staff worked together</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r>
      <w:tr w:rsidR="00684604" w:rsidTr="00F3746F">
        <w:trPr>
          <w:trHeight w:val="283"/>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1"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C53EDA" w:rsidRDefault="00684604" w:rsidP="00F3746F">
            <w:pPr>
              <w:rPr>
                <w:rFonts w:ascii="Calibri" w:hAnsi="Calibri" w:cs="Calibri"/>
                <w:b/>
                <w:color w:val="000000"/>
                <w:sz w:val="18"/>
                <w:szCs w:val="18"/>
              </w:rPr>
            </w:pPr>
            <w:r w:rsidRPr="00C53EDA">
              <w:rPr>
                <w:rFonts w:ascii="Calibri" w:hAnsi="Calibri" w:cs="Calibri"/>
                <w:b/>
                <w:bCs/>
                <w:color w:val="000000"/>
                <w:sz w:val="18"/>
                <w:szCs w:val="18"/>
              </w:rPr>
              <w:t>Rating of Overall Care Received</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55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51"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69" w:name="_Ref381946775"/>
      <w:r w:rsidRPr="00364AA3">
        <w:rPr>
          <w:rFonts w:asciiTheme="minorHAnsi" w:hAnsiTheme="minorHAnsi" w:cstheme="minorHAnsi"/>
          <w:color w:val="auto"/>
          <w:sz w:val="22"/>
          <w:szCs w:val="22"/>
        </w:rPr>
        <w:t>Attendance at Accident &amp; Emergency</w:t>
      </w:r>
      <w:bookmarkEnd w:id="69"/>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Attended A&amp;E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r>
      <w:tr w:rsidR="00684604" w:rsidTr="00F3746F">
        <w:trPr>
          <w:trHeight w:val="227"/>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7A7167" w:rsidRDefault="00684604" w:rsidP="00F3746F">
            <w:pPr>
              <w:jc w:val="left"/>
              <w:rPr>
                <w:rFonts w:ascii="Calibri" w:hAnsi="Calibri" w:cs="Calibri"/>
                <w:color w:val="000000"/>
                <w:sz w:val="18"/>
                <w:szCs w:val="18"/>
              </w:rPr>
            </w:pPr>
            <w:r w:rsidRPr="007A7167">
              <w:rPr>
                <w:rFonts w:ascii="Calibri" w:hAnsi="Calibri" w:cs="Calibri"/>
                <w:b/>
                <w:bCs/>
                <w:color w:val="000000"/>
                <w:sz w:val="18"/>
                <w:szCs w:val="18"/>
              </w:rPr>
              <w:t>Of those who attended A&amp;E – Decision to attend</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I decided I needed to go</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r>
      <w:tr w:rsidR="00684604" w:rsidTr="00F3746F">
        <w:trPr>
          <w:trHeight w:val="283"/>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Told to go by Health Professional</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r>
      <w:tr w:rsidR="00684604" w:rsidTr="00F3746F">
        <w:trPr>
          <w:trHeight w:val="283"/>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Told to go by friend/relative/colleague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r>
      <w:tr w:rsidR="00684604" w:rsidTr="00F3746F">
        <w:trPr>
          <w:trHeight w:val="283"/>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Taken to A&amp;E by Ambulance Service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r>
      <w:tr w:rsidR="00684604" w:rsidTr="00F3746F">
        <w:trPr>
          <w:trHeight w:val="283"/>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GP / Health Centre was closed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r>
      <w:tr w:rsidR="00684604" w:rsidTr="00F3746F">
        <w:trPr>
          <w:trHeight w:val="283"/>
        </w:trPr>
        <w:tc>
          <w:tcPr>
            <w:tcW w:w="2210"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Other reason</w:t>
            </w:r>
            <w:r>
              <w:rPr>
                <w:rFonts w:ascii="Calibri" w:hAnsi="Calibri" w:cs="Calibri"/>
                <w:b/>
                <w:bCs/>
                <w:color w:val="000000"/>
                <w:sz w:val="18"/>
                <w:szCs w:val="18"/>
              </w:rPr>
              <w:t xml:space="preserve"> given</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r>
      <w:tr w:rsidR="00684604" w:rsidTr="00F3746F">
        <w:trPr>
          <w:trHeight w:val="227"/>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7A7167" w:rsidRDefault="00684604" w:rsidP="00F3746F">
            <w:pPr>
              <w:jc w:val="left"/>
              <w:rPr>
                <w:rFonts w:ascii="Calibri" w:hAnsi="Calibri" w:cs="Calibri"/>
                <w:b/>
                <w:color w:val="000000"/>
                <w:sz w:val="18"/>
                <w:szCs w:val="18"/>
              </w:rPr>
            </w:pPr>
            <w:r w:rsidRPr="007A7167">
              <w:rPr>
                <w:rFonts w:ascii="Calibri" w:hAnsi="Calibri" w:cs="Calibri"/>
                <w:b/>
                <w:bCs/>
                <w:color w:val="000000"/>
                <w:sz w:val="18"/>
                <w:szCs w:val="18"/>
              </w:rPr>
              <w:t>Reason for attendance</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Accidental injury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Heart problem / Angina / Stroke / Chest pains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Pain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Infection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Other problem</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r>
      <w:tr w:rsidR="00684604" w:rsidTr="00F3746F">
        <w:trPr>
          <w:trHeight w:val="227"/>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7A7167" w:rsidRDefault="00684604" w:rsidP="00F3746F">
            <w:pPr>
              <w:jc w:val="left"/>
              <w:rPr>
                <w:rFonts w:ascii="Calibri" w:hAnsi="Calibri" w:cs="Calibri"/>
                <w:color w:val="000000"/>
                <w:sz w:val="18"/>
                <w:szCs w:val="18"/>
              </w:rPr>
            </w:pPr>
            <w:r w:rsidRPr="007A7167">
              <w:rPr>
                <w:rFonts w:ascii="Calibri" w:hAnsi="Calibri" w:cs="Calibri"/>
                <w:b/>
                <w:bCs/>
                <w:color w:val="000000"/>
                <w:sz w:val="18"/>
                <w:szCs w:val="18"/>
              </w:rPr>
              <w:t>Length of visit to A&amp;E</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&lt;1 hour</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1-4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4-8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8-12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&gt;12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r>
      <w:tr w:rsidR="00684604" w:rsidTr="00F3746F">
        <w:trPr>
          <w:trHeight w:val="283"/>
        </w:trPr>
        <w:tc>
          <w:tcPr>
            <w:tcW w:w="15517" w:type="dxa"/>
            <w:gridSpan w:val="25"/>
            <w:tcBorders>
              <w:top w:val="single" w:sz="4"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7A7167" w:rsidRDefault="00684604" w:rsidP="00F3746F">
            <w:pPr>
              <w:jc w:val="left"/>
              <w:rPr>
                <w:rFonts w:ascii="Calibri" w:hAnsi="Calibri" w:cs="Calibri"/>
                <w:color w:val="000000"/>
                <w:sz w:val="18"/>
                <w:szCs w:val="18"/>
              </w:rPr>
            </w:pPr>
            <w:r w:rsidRPr="007A7167">
              <w:rPr>
                <w:rFonts w:ascii="Calibri" w:hAnsi="Calibri" w:cs="Calibri"/>
                <w:b/>
                <w:bCs/>
                <w:color w:val="000000"/>
                <w:sz w:val="18"/>
                <w:szCs w:val="18"/>
              </w:rPr>
              <w:t>At end of visit to A&amp;E...</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I went home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sidRPr="007A7167">
              <w:rPr>
                <w:rFonts w:ascii="Calibri" w:hAnsi="Calibri" w:cs="Calibri"/>
                <w:b/>
                <w:bCs/>
                <w:color w:val="000000"/>
                <w:sz w:val="18"/>
                <w:szCs w:val="18"/>
              </w:rPr>
              <w:t>I was admitted to hospital</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Accident &amp; Emergency Experience </w:t>
      </w:r>
    </w:p>
    <w:tbl>
      <w:tblPr>
        <w:tblW w:w="15232" w:type="dxa"/>
        <w:tblLook w:val="04A0" w:firstRow="1" w:lastRow="0" w:firstColumn="1" w:lastColumn="0" w:noHBand="0" w:noVBand="1"/>
      </w:tblPr>
      <w:tblGrid>
        <w:gridCol w:w="1814"/>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551"/>
      </w:tblGrid>
      <w:tr w:rsidR="00684604" w:rsidRPr="00EB5B0E" w:rsidTr="00F3746F">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1F4FFA" w:rsidRDefault="00684604" w:rsidP="00F3746F">
            <w:pPr>
              <w:rPr>
                <w:rFonts w:ascii="Calibri" w:hAnsi="Calibri" w:cs="Calibri"/>
                <w:b/>
                <w:bCs/>
                <w:color w:val="000000"/>
                <w:sz w:val="18"/>
                <w:szCs w:val="18"/>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1F4FFA" w:rsidRDefault="00684604" w:rsidP="00F3746F">
            <w:pPr>
              <w:rPr>
                <w:rFonts w:ascii="Calibri" w:hAnsi="Calibri" w:cs="Calibri"/>
                <w:b/>
                <w:bCs/>
                <w:color w:val="000000"/>
                <w:sz w:val="18"/>
                <w:szCs w:val="18"/>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551"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300"/>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1F4FFA" w:rsidRDefault="00684604" w:rsidP="00F3746F">
            <w:pPr>
              <w:jc w:val="left"/>
              <w:rPr>
                <w:rFonts w:ascii="Calibri" w:hAnsi="Calibri" w:cs="Calibri"/>
                <w:b/>
                <w:bCs/>
                <w:color w:val="000000"/>
                <w:sz w:val="18"/>
                <w:szCs w:val="18"/>
              </w:rPr>
            </w:pPr>
            <w:r w:rsidRPr="001F4FFA">
              <w:rPr>
                <w:rFonts w:ascii="Calibri" w:hAnsi="Calibri" w:cs="Calibri"/>
                <w:b/>
                <w:bCs/>
                <w:color w:val="000000"/>
                <w:sz w:val="18"/>
                <w:szCs w:val="18"/>
              </w:rPr>
              <w:t>Given privacy when being examined or treated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5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100</w:t>
            </w:r>
          </w:p>
        </w:tc>
      </w:tr>
      <w:tr w:rsidR="00684604" w:rsidTr="00F3746F">
        <w:trPr>
          <w:trHeight w:val="300"/>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1F4FFA" w:rsidRDefault="00684604" w:rsidP="00F3746F">
            <w:pPr>
              <w:jc w:val="left"/>
              <w:rPr>
                <w:rFonts w:ascii="Calibri" w:hAnsi="Calibri" w:cs="Calibri"/>
                <w:b/>
                <w:bCs/>
                <w:color w:val="000000"/>
                <w:sz w:val="18"/>
                <w:szCs w:val="18"/>
              </w:rPr>
            </w:pPr>
            <w:r w:rsidRPr="001F4FFA">
              <w:rPr>
                <w:rFonts w:ascii="Calibri" w:hAnsi="Calibri" w:cs="Calibri"/>
                <w:b/>
                <w:bCs/>
                <w:color w:val="000000"/>
                <w:sz w:val="18"/>
                <w:szCs w:val="18"/>
              </w:rPr>
              <w:t>Treated with respect and dignity while in hospital</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100</w:t>
            </w:r>
          </w:p>
        </w:tc>
      </w:tr>
      <w:tr w:rsidR="00684604" w:rsidTr="00F3746F">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874BA" w:rsidRDefault="00684604" w:rsidP="00F3746F">
            <w:pPr>
              <w:jc w:val="left"/>
              <w:rPr>
                <w:rFonts w:ascii="Calibri" w:hAnsi="Calibri" w:cs="Calibri"/>
                <w:b/>
                <w:bCs/>
                <w:color w:val="000000"/>
                <w:sz w:val="18"/>
                <w:szCs w:val="18"/>
              </w:rPr>
            </w:pPr>
            <w:r w:rsidRPr="00B874BA">
              <w:rPr>
                <w:rFonts w:ascii="Calibri" w:hAnsi="Calibri" w:cs="Calibri"/>
                <w:b/>
                <w:bCs/>
                <w:color w:val="000000"/>
                <w:sz w:val="18"/>
                <w:szCs w:val="18"/>
              </w:rPr>
              <w:t xml:space="preserve">Was involved in decisions about care / treatment as much as I wanted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551"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rPr>
                <w:rFonts w:ascii="Calibri" w:hAnsi="Calibri" w:cs="Calibri"/>
                <w:color w:val="000000"/>
                <w:sz w:val="22"/>
                <w:szCs w:val="22"/>
              </w:rPr>
            </w:pPr>
            <w:r w:rsidRPr="00650139">
              <w:rPr>
                <w:rFonts w:ascii="Calibri" w:hAnsi="Calibri" w:cs="Calibri"/>
                <w:b/>
                <w:bCs/>
                <w:color w:val="000000"/>
                <w:sz w:val="18"/>
                <w:szCs w:val="18"/>
              </w:rPr>
              <w:t>Rating of how well the health and social care staff worked together</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551"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551"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r>
      <w:tr w:rsidR="00684604" w:rsidTr="00F3746F">
        <w:trPr>
          <w:trHeight w:val="283"/>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1"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r>
      <w:tr w:rsidR="00684604" w:rsidTr="00F3746F">
        <w:trPr>
          <w:trHeight w:val="283"/>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551"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r>
      <w:tr w:rsidR="00684604" w:rsidTr="00F3746F">
        <w:trPr>
          <w:trHeight w:val="227"/>
        </w:trPr>
        <w:tc>
          <w:tcPr>
            <w:tcW w:w="1523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C53EDA" w:rsidRDefault="00684604" w:rsidP="00F3746F">
            <w:pPr>
              <w:rPr>
                <w:rFonts w:ascii="Calibri" w:hAnsi="Calibri" w:cs="Calibri"/>
                <w:b/>
                <w:color w:val="000000"/>
                <w:sz w:val="18"/>
                <w:szCs w:val="18"/>
              </w:rPr>
            </w:pPr>
            <w:r w:rsidRPr="00C53EDA">
              <w:rPr>
                <w:rFonts w:ascii="Calibri" w:hAnsi="Calibri" w:cs="Calibri"/>
                <w:b/>
                <w:bCs/>
                <w:color w:val="000000"/>
                <w:sz w:val="18"/>
                <w:szCs w:val="18"/>
              </w:rPr>
              <w:t>Rating of Overall Care Received</w:t>
            </w:r>
          </w:p>
        </w:tc>
      </w:tr>
      <w:tr w:rsidR="00684604" w:rsidTr="00F3746F">
        <w:trPr>
          <w:trHeight w:val="283"/>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Excellent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551"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Good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r>
      <w:tr w:rsidR="00684604" w:rsidTr="00F3746F">
        <w:trPr>
          <w:trHeight w:val="283"/>
        </w:trPr>
        <w:tc>
          <w:tcPr>
            <w:tcW w:w="181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Fair</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5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r>
      <w:tr w:rsidR="00684604" w:rsidTr="00F3746F">
        <w:trPr>
          <w:trHeight w:val="283"/>
        </w:trPr>
        <w:tc>
          <w:tcPr>
            <w:tcW w:w="1814"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Poor</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51"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70" w:name="_Ref381946781"/>
      <w:r w:rsidRPr="00364AA3">
        <w:rPr>
          <w:rFonts w:asciiTheme="minorHAnsi" w:hAnsiTheme="minorHAnsi" w:cstheme="minorHAnsi"/>
          <w:color w:val="auto"/>
          <w:sz w:val="22"/>
          <w:szCs w:val="22"/>
        </w:rPr>
        <w:t>Attendance at GP / Practice Nurse in last two weeks</w:t>
      </w:r>
      <w:bookmarkEnd w:id="70"/>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Talk</w:t>
            </w:r>
            <w:r w:rsidRPr="007A7167">
              <w:rPr>
                <w:rFonts w:ascii="Calibri" w:hAnsi="Calibri" w:cs="Calibri"/>
                <w:b/>
                <w:bCs/>
                <w:color w:val="000000"/>
                <w:sz w:val="18"/>
                <w:szCs w:val="18"/>
              </w:rPr>
              <w:t>ed</w:t>
            </w:r>
            <w:r>
              <w:rPr>
                <w:rFonts w:ascii="Calibri" w:hAnsi="Calibri" w:cs="Calibri"/>
                <w:b/>
                <w:bCs/>
                <w:color w:val="000000"/>
                <w:sz w:val="18"/>
                <w:szCs w:val="18"/>
              </w:rPr>
              <w:t xml:space="preserve"> to</w:t>
            </w:r>
            <w:r w:rsidRPr="007A7167">
              <w:rPr>
                <w:rFonts w:ascii="Calibri" w:hAnsi="Calibri" w:cs="Calibri"/>
                <w:b/>
                <w:bCs/>
                <w:color w:val="000000"/>
                <w:sz w:val="18"/>
                <w:szCs w:val="18"/>
              </w:rPr>
              <w:t xml:space="preserve"> </w:t>
            </w:r>
            <w:r>
              <w:rPr>
                <w:rFonts w:ascii="Calibri" w:hAnsi="Calibri" w:cs="Calibri"/>
                <w:b/>
                <w:bCs/>
                <w:color w:val="000000"/>
                <w:sz w:val="18"/>
                <w:szCs w:val="18"/>
              </w:rPr>
              <w:t>GP in last 2 weeks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jc w:val="left"/>
              <w:rPr>
                <w:rFonts w:ascii="Calibri" w:hAnsi="Calibri" w:cs="Calibri"/>
                <w:color w:val="000000"/>
              </w:rPr>
            </w:pPr>
            <w:r w:rsidRPr="00441ACD">
              <w:rPr>
                <w:rFonts w:ascii="Calibri" w:hAnsi="Calibri" w:cs="Calibri"/>
                <w:b/>
                <w:bCs/>
                <w:color w:val="000000"/>
              </w:rPr>
              <w:t>Of those who attended GP – Number of visits</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Once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r>
      <w:tr w:rsidR="00684604" w:rsidTr="00F3746F">
        <w:trPr>
          <w:trHeight w:val="170"/>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Twice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r>
      <w:tr w:rsidR="00684604" w:rsidTr="00F3746F">
        <w:trPr>
          <w:trHeight w:val="170"/>
        </w:trPr>
        <w:tc>
          <w:tcPr>
            <w:tcW w:w="2210"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More than two times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7A7167"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Talk</w:t>
            </w:r>
            <w:r w:rsidRPr="007A7167">
              <w:rPr>
                <w:rFonts w:ascii="Calibri" w:hAnsi="Calibri" w:cs="Calibri"/>
                <w:b/>
                <w:bCs/>
                <w:color w:val="000000"/>
                <w:sz w:val="18"/>
                <w:szCs w:val="18"/>
              </w:rPr>
              <w:t>ed</w:t>
            </w:r>
            <w:r>
              <w:rPr>
                <w:rFonts w:ascii="Calibri" w:hAnsi="Calibri" w:cs="Calibri"/>
                <w:b/>
                <w:bCs/>
                <w:color w:val="000000"/>
                <w:sz w:val="18"/>
                <w:szCs w:val="18"/>
              </w:rPr>
              <w:t xml:space="preserve"> to</w:t>
            </w:r>
            <w:r w:rsidRPr="007A7167">
              <w:rPr>
                <w:rFonts w:ascii="Calibri" w:hAnsi="Calibri" w:cs="Calibri"/>
                <w:b/>
                <w:bCs/>
                <w:color w:val="000000"/>
                <w:sz w:val="18"/>
                <w:szCs w:val="18"/>
              </w:rPr>
              <w:t xml:space="preserve"> </w:t>
            </w:r>
            <w:r>
              <w:rPr>
                <w:rFonts w:ascii="Calibri" w:hAnsi="Calibri" w:cs="Calibri"/>
                <w:b/>
                <w:bCs/>
                <w:color w:val="000000"/>
                <w:sz w:val="18"/>
                <w:szCs w:val="18"/>
              </w:rPr>
              <w:t>Practice Nurse in last 2 weeks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jc w:val="left"/>
              <w:rPr>
                <w:rFonts w:ascii="Calibri" w:hAnsi="Calibri" w:cs="Calibri"/>
                <w:b/>
                <w:color w:val="000000"/>
              </w:rPr>
            </w:pPr>
            <w:r w:rsidRPr="00441ACD">
              <w:rPr>
                <w:rFonts w:ascii="Calibri" w:hAnsi="Calibri" w:cs="Calibri"/>
                <w:b/>
                <w:bCs/>
                <w:color w:val="000000"/>
              </w:rPr>
              <w:t>Of those who attended Practice Nurse – Number of visits</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Once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Twice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jc w:val="left"/>
              <w:rPr>
                <w:rFonts w:ascii="Calibri" w:hAnsi="Calibri" w:cs="Calibri"/>
                <w:b/>
                <w:bCs/>
                <w:color w:val="000000"/>
              </w:rPr>
            </w:pPr>
            <w:r>
              <w:rPr>
                <w:rFonts w:ascii="Calibri" w:hAnsi="Calibri" w:cs="Calibri"/>
                <w:b/>
                <w:bCs/>
                <w:color w:val="000000"/>
              </w:rPr>
              <w:t>More than two times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 xml:space="preserve">Satisfaction with </w:t>
            </w:r>
            <w:r>
              <w:rPr>
                <w:rFonts w:ascii="Calibri" w:hAnsi="Calibri" w:cs="Calibri"/>
                <w:b/>
                <w:bCs/>
                <w:color w:val="000000"/>
                <w:sz w:val="18"/>
                <w:szCs w:val="18"/>
              </w:rPr>
              <w:t>care received at GP surgery</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91</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92</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94</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r>
    </w:tbl>
    <w:p w:rsidR="00684604" w:rsidRDefault="00684604" w:rsidP="00684604">
      <w:pPr>
        <w:tabs>
          <w:tab w:val="center" w:pos="4075"/>
        </w:tabs>
        <w:autoSpaceDE w:val="0"/>
        <w:autoSpaceDN w:val="0"/>
        <w:adjustRightInd w:val="0"/>
        <w:spacing w:before="60"/>
        <w:rPr>
          <w:rFonts w:asciiTheme="minorHAnsi" w:hAnsiTheme="minorHAnsi" w:cstheme="minorHAnsi"/>
          <w:b/>
          <w:sz w:val="22"/>
          <w:szCs w:val="22"/>
        </w:rPr>
      </w:pPr>
      <w:r>
        <w:rPr>
          <w:rFonts w:asciiTheme="minorHAnsi" w:hAnsiTheme="minorHAnsi" w:cstheme="minorHAnsi"/>
          <w:b/>
          <w:sz w:val="22"/>
          <w:szCs w:val="22"/>
        </w:rPr>
        <w:t>Over last six months - GP / Practice Nurse</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E929E2" w:rsidRDefault="00684604" w:rsidP="00F3746F">
            <w:pPr>
              <w:rPr>
                <w:rFonts w:ascii="Calibri" w:hAnsi="Calibri" w:cs="Calibri"/>
                <w:b/>
                <w:bCs/>
                <w:color w:val="000000"/>
              </w:rPr>
            </w:pPr>
            <w:r>
              <w:rPr>
                <w:rFonts w:ascii="Calibri" w:hAnsi="Calibri" w:cs="Calibri"/>
                <w:b/>
                <w:bCs/>
                <w:color w:val="000000"/>
              </w:rPr>
              <w:t>Ease of getting through on the phone</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Easy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r>
      <w:tr w:rsidR="00684604" w:rsidTr="00F3746F">
        <w:trPr>
          <w:trHeight w:val="170"/>
        </w:trPr>
        <w:tc>
          <w:tcPr>
            <w:tcW w:w="2210"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Not easy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r>
      <w:tr w:rsidR="00684604" w:rsidTr="00F3746F">
        <w:trPr>
          <w:trHeight w:val="170"/>
        </w:trPr>
        <w:tc>
          <w:tcPr>
            <w:tcW w:w="2210"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Haven't tried/Not known</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rPr>
                <w:rFonts w:ascii="Calibri" w:hAnsi="Calibri" w:cs="Calibri"/>
                <w:b/>
                <w:bCs/>
                <w:color w:val="000000"/>
              </w:rPr>
            </w:pPr>
            <w:r w:rsidRPr="00441ACD">
              <w:rPr>
                <w:rFonts w:ascii="Calibri" w:hAnsi="Calibri" w:cs="Calibri"/>
                <w:b/>
                <w:bCs/>
                <w:color w:val="000000"/>
              </w:rPr>
              <w:t>Ease of speaking to a doctor on the phone</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Easy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Not easy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Haven't tried/Not known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rPr>
                <w:rFonts w:ascii="Calibri" w:hAnsi="Calibri" w:cs="Calibri"/>
                <w:b/>
                <w:bCs/>
                <w:color w:val="000000"/>
              </w:rPr>
            </w:pPr>
            <w:r w:rsidRPr="00441ACD">
              <w:rPr>
                <w:rFonts w:ascii="Calibri" w:hAnsi="Calibri" w:cs="Calibri"/>
                <w:b/>
                <w:bCs/>
                <w:color w:val="000000"/>
              </w:rPr>
              <w:t>Ease of speaking to a nurse on the phone</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Easy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Not easy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Haven't tried/Not known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68</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70</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70</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65</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rPr>
                <w:rFonts w:ascii="Calibri" w:hAnsi="Calibri" w:cs="Calibri"/>
                <w:b/>
                <w:bCs/>
                <w:color w:val="000000"/>
              </w:rPr>
            </w:pPr>
            <w:r w:rsidRPr="00441ACD">
              <w:rPr>
                <w:rFonts w:ascii="Calibri" w:hAnsi="Calibri" w:cs="Calibri"/>
                <w:b/>
                <w:bCs/>
                <w:color w:val="000000"/>
              </w:rPr>
              <w:t>Ease of getting results on the phone</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Easy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Not easy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Haven't tried/Not known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67</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Over last six months - GP / Practice Nurse</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jc w:val="cente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jc w:val="cente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jc w:val="cente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jc w:val="cente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441ACD" w:rsidRDefault="00684604" w:rsidP="00F3746F">
            <w:pPr>
              <w:jc w:val="cente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Age</w:t>
            </w:r>
          </w:p>
        </w:tc>
      </w:tr>
      <w:tr w:rsidR="00684604" w:rsidTr="00F3746F">
        <w:trPr>
          <w:trHeight w:val="340"/>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75+</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Tried to see doctor same day or within next two days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Able to see doctor same day or within next two days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73</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79</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72</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78</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jc w:val="left"/>
              <w:rPr>
                <w:rFonts w:ascii="Calibri" w:hAnsi="Calibri" w:cs="Calibri"/>
                <w:color w:val="000000"/>
              </w:rPr>
            </w:pPr>
            <w:r w:rsidRPr="00441ACD">
              <w:rPr>
                <w:rFonts w:ascii="Calibri" w:hAnsi="Calibri" w:cs="Calibri"/>
                <w:b/>
                <w:bCs/>
                <w:color w:val="000000"/>
              </w:rPr>
              <w:t>Could not be seen within the next two days by GP due to...</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No appointments available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App</w:t>
            </w:r>
            <w:r>
              <w:rPr>
                <w:rFonts w:ascii="Calibri" w:hAnsi="Calibri" w:cs="Calibri"/>
                <w:b/>
                <w:bCs/>
                <w:color w:val="000000"/>
                <w:sz w:val="18"/>
                <w:szCs w:val="18"/>
              </w:rPr>
              <w:t>ointmen</w:t>
            </w:r>
            <w:r w:rsidRPr="00B63819">
              <w:rPr>
                <w:rFonts w:ascii="Calibri" w:hAnsi="Calibri" w:cs="Calibri"/>
                <w:b/>
                <w:bCs/>
                <w:color w:val="000000"/>
                <w:sz w:val="18"/>
                <w:szCs w:val="18"/>
              </w:rPr>
              <w:t xml:space="preserve">t offered </w:t>
            </w:r>
            <w:r w:rsidRPr="00A5639D">
              <w:rPr>
                <w:rFonts w:ascii="Calibri" w:hAnsi="Calibri" w:cs="Calibri"/>
                <w:b/>
                <w:bCs/>
                <w:color w:val="000000"/>
                <w:sz w:val="17"/>
                <w:szCs w:val="17"/>
              </w:rPr>
              <w:t>with a doctor I did not want to see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jc w:val="left"/>
              <w:rPr>
                <w:rFonts w:ascii="Calibri" w:hAnsi="Calibri" w:cs="Calibri"/>
                <w:color w:val="000000"/>
              </w:rPr>
            </w:pPr>
            <w:r w:rsidRPr="00441ACD">
              <w:rPr>
                <w:rFonts w:ascii="Calibri" w:hAnsi="Calibri" w:cs="Calibri"/>
                <w:b/>
                <w:bCs/>
                <w:color w:val="000000"/>
              </w:rPr>
              <w:t>Could not be seen within the next two days by GP so instead...</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Got appointment for a later day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65</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Decided to contact my surgery another time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I did not see or speak to anyone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Had a consultation over the phone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Went to A&amp;E or Casualty department</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Saw a pharmacist</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0</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Tried to book an appointment with GP more than 2 full days in advance</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Was able to book an appointment with GP more than 2 full days in advance</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73</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75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72</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78</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r>
      <w:tr w:rsidR="00684604" w:rsidTr="00F3746F">
        <w:trPr>
          <w:trHeight w:val="170"/>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441ACD" w:rsidRDefault="00684604" w:rsidP="00F3746F">
            <w:pPr>
              <w:jc w:val="left"/>
              <w:rPr>
                <w:rFonts w:ascii="Calibri" w:hAnsi="Calibri" w:cs="Calibri"/>
                <w:color w:val="000000"/>
              </w:rPr>
            </w:pPr>
            <w:r w:rsidRPr="00441ACD">
              <w:rPr>
                <w:rFonts w:ascii="Calibri" w:hAnsi="Calibri" w:cs="Calibri"/>
                <w:b/>
                <w:bCs/>
                <w:color w:val="000000"/>
              </w:rPr>
              <w:t>Last seen a GP or healthcare professional at your GP surgery or health centre</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In the past 3 months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 xml:space="preserve">Between 3 </w:t>
            </w:r>
            <w:r>
              <w:rPr>
                <w:rFonts w:ascii="Calibri" w:hAnsi="Calibri" w:cs="Calibri"/>
                <w:b/>
                <w:bCs/>
                <w:color w:val="000000"/>
                <w:sz w:val="18"/>
                <w:szCs w:val="18"/>
              </w:rPr>
              <w:t>&amp;</w:t>
            </w:r>
            <w:r w:rsidRPr="00B63819">
              <w:rPr>
                <w:rFonts w:ascii="Calibri" w:hAnsi="Calibri" w:cs="Calibri"/>
                <w:b/>
                <w:bCs/>
                <w:color w:val="000000"/>
                <w:sz w:val="18"/>
                <w:szCs w:val="18"/>
              </w:rPr>
              <w:t xml:space="preserve"> 6 months ago</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19</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sidRPr="00B63819">
              <w:rPr>
                <w:rFonts w:ascii="Calibri" w:hAnsi="Calibri" w:cs="Calibri"/>
                <w:b/>
                <w:bCs/>
                <w:color w:val="000000"/>
                <w:sz w:val="18"/>
                <w:szCs w:val="18"/>
              </w:rPr>
              <w:t>More than 6 months ago</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63819"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N</w:t>
            </w:r>
            <w:r w:rsidRPr="00B63819">
              <w:rPr>
                <w:rFonts w:ascii="Calibri" w:hAnsi="Calibri" w:cs="Calibri"/>
                <w:b/>
                <w:bCs/>
                <w:color w:val="000000"/>
                <w:sz w:val="18"/>
                <w:szCs w:val="18"/>
              </w:rPr>
              <w:t xml:space="preserve">ot needed to see GP in last six months </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97</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97</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97</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94</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89</w:t>
            </w:r>
          </w:p>
        </w:tc>
      </w:tr>
      <w:tr w:rsidR="00684604" w:rsidTr="00F3746F">
        <w:trPr>
          <w:trHeight w:val="11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 xml:space="preserve">Seen </w:t>
            </w:r>
            <w:r>
              <w:rPr>
                <w:rFonts w:ascii="Calibri" w:hAnsi="Calibri" w:cs="Calibri"/>
                <w:b/>
                <w:bCs/>
                <w:color w:val="000000"/>
                <w:sz w:val="18"/>
                <w:szCs w:val="18"/>
              </w:rPr>
              <w:t>Practice n</w:t>
            </w:r>
            <w:r w:rsidRPr="00C52733">
              <w:rPr>
                <w:rFonts w:ascii="Calibri" w:hAnsi="Calibri" w:cs="Calibri"/>
                <w:b/>
                <w:bCs/>
                <w:color w:val="000000"/>
                <w:sz w:val="18"/>
                <w:szCs w:val="18"/>
              </w:rPr>
              <w:t>urse in last 6 months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Of those: Found it easy to get appointment</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90</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83</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85</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81</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GP </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D03C42" w:rsidRDefault="00684604" w:rsidP="00F3746F">
            <w:pPr>
              <w:rPr>
                <w:rFonts w:ascii="Calibri" w:hAnsi="Calibri" w:cs="Calibri"/>
                <w:b/>
                <w:color w:val="000000"/>
              </w:rPr>
            </w:pPr>
            <w:r w:rsidRPr="00D03C42">
              <w:rPr>
                <w:rFonts w:ascii="Calibri" w:hAnsi="Calibri" w:cs="Calibri"/>
                <w:b/>
                <w:color w:val="000000"/>
              </w:rPr>
              <w:t>Opinion of last time respondents saw GP - All respondents who have seen a GP at some time (Good / Very good)</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Giving you enough time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Asking about your symptoms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Listening to you</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Explaining tests and treatments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Involving you in decisions about your care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Treating you with care and concern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Taking your problems seriously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C52733" w:rsidRDefault="00684604" w:rsidP="00F3746F">
            <w:pPr>
              <w:jc w:val="left"/>
              <w:rPr>
                <w:rFonts w:ascii="Calibri" w:hAnsi="Calibri" w:cs="Calibri"/>
                <w:b/>
                <w:bCs/>
                <w:color w:val="000000"/>
                <w:sz w:val="18"/>
                <w:szCs w:val="18"/>
              </w:rPr>
            </w:pPr>
            <w:r w:rsidRPr="00C52733">
              <w:rPr>
                <w:rFonts w:ascii="Calibri" w:hAnsi="Calibri" w:cs="Calibri"/>
                <w:b/>
                <w:bCs/>
                <w:color w:val="000000"/>
                <w:sz w:val="18"/>
                <w:szCs w:val="18"/>
              </w:rPr>
              <w:t>Had confidence / trust in doctor seen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Practice Nurse </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Pr="00D03C42" w:rsidRDefault="00684604" w:rsidP="00F3746F">
            <w:pPr>
              <w:rPr>
                <w:rFonts w:ascii="Calibri" w:hAnsi="Calibri" w:cs="Calibri"/>
                <w:b/>
                <w:color w:val="000000"/>
              </w:rPr>
            </w:pPr>
            <w:r w:rsidRPr="00D03C42">
              <w:rPr>
                <w:rFonts w:ascii="Calibri" w:hAnsi="Calibri" w:cs="Calibri"/>
                <w:b/>
                <w:color w:val="000000"/>
              </w:rPr>
              <w:t>Opinion of last time respondents saw Practice Nurse - All respondents who have seen a Practice Nurse at some time (Good / Very good)</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Giving you enough time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Asking about your symptoms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Listening to you</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Explaining tests and treatments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Involving you in decisions about your care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Treating you with care and concern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Taking your problems seriously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Had confidence / trust in nurse seen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r>
    </w:tbl>
    <w:p w:rsidR="00684604" w:rsidRPr="00364AA3" w:rsidRDefault="00684604" w:rsidP="00684604">
      <w:pPr>
        <w:pStyle w:val="Heading3"/>
        <w:spacing w:before="0"/>
        <w:rPr>
          <w:rFonts w:asciiTheme="minorHAnsi" w:hAnsiTheme="minorHAnsi" w:cstheme="minorHAnsi"/>
          <w:color w:val="auto"/>
          <w:sz w:val="22"/>
          <w:szCs w:val="22"/>
        </w:rPr>
      </w:pPr>
      <w:bookmarkStart w:id="71" w:name="_Ref381946786"/>
      <w:r w:rsidRPr="00364AA3">
        <w:rPr>
          <w:rFonts w:asciiTheme="minorHAnsi" w:hAnsiTheme="minorHAnsi" w:cstheme="minorHAnsi"/>
          <w:color w:val="auto"/>
          <w:sz w:val="22"/>
          <w:szCs w:val="22"/>
        </w:rPr>
        <w:t>Out-of-hours</w:t>
      </w:r>
      <w:bookmarkEnd w:id="71"/>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Knows how to contact out-of-hours GP service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Tried to call out-of hours GP service in last six months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Of those who tried to call, found it easy to contact out-of-hours GP service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 xml:space="preserve">Prescribed medicine by out-of hours GP service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Of those who were prescribed medicine, found it easy to obtain medicine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Felt that they received care quickly from out-of-hours GP service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D03C42" w:rsidRDefault="00684604" w:rsidP="00F3746F">
            <w:pPr>
              <w:jc w:val="left"/>
              <w:rPr>
                <w:rFonts w:ascii="Calibri" w:hAnsi="Calibri" w:cs="Calibri"/>
                <w:b/>
                <w:bCs/>
                <w:color w:val="000000"/>
                <w:sz w:val="18"/>
                <w:szCs w:val="18"/>
              </w:rPr>
            </w:pPr>
            <w:r w:rsidRPr="00D03C42">
              <w:rPr>
                <w:rFonts w:ascii="Calibri" w:hAnsi="Calibri" w:cs="Calibri"/>
                <w:b/>
                <w:bCs/>
                <w:color w:val="000000"/>
                <w:sz w:val="18"/>
                <w:szCs w:val="18"/>
              </w:rPr>
              <w:t>Care received from out-of-hours GP service was good or very good</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72" w:name="_Ref381946791"/>
      <w:r w:rsidRPr="00364AA3">
        <w:rPr>
          <w:rFonts w:asciiTheme="minorHAnsi" w:hAnsiTheme="minorHAnsi" w:cstheme="minorHAnsi"/>
          <w:color w:val="auto"/>
          <w:sz w:val="22"/>
          <w:szCs w:val="22"/>
        </w:rPr>
        <w:t>Prescribed Medicines – All respondents</w:t>
      </w:r>
      <w:bookmarkEnd w:id="72"/>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Prescribed medicine in last 12 months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Healthcare professional clearly explained condition</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Involved as much as I wanted to be in decisions about care / treatment</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 xml:space="preserve">Healthcare professional explained how a medicine would help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 xml:space="preserve">Healthcare professional told me about medication side-effects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Told how to take medication in a way I could understand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Healthcare professional asked if I had any worries about taking the medicine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Involved as much as I wanted in decisions about the best medicine for me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 xml:space="preserve">Decided NOT to take a medicine that was prescribed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Did not take medicine due to actual / possible side effects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r>
      <w:tr w:rsidR="00684604" w:rsidTr="00F3746F">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Pr>
                <w:rFonts w:ascii="Calibri" w:hAnsi="Calibri" w:cs="Calibri"/>
                <w:b/>
                <w:bCs/>
                <w:color w:val="000000"/>
                <w:sz w:val="18"/>
                <w:szCs w:val="18"/>
              </w:rPr>
              <w:t>U</w:t>
            </w:r>
            <w:r w:rsidRPr="00E14FD6">
              <w:rPr>
                <w:rFonts w:ascii="Calibri" w:hAnsi="Calibri" w:cs="Calibri"/>
                <w:b/>
                <w:bCs/>
                <w:color w:val="000000"/>
                <w:sz w:val="18"/>
                <w:szCs w:val="18"/>
              </w:rPr>
              <w:t>sually give</w:t>
            </w:r>
            <w:r>
              <w:rPr>
                <w:rFonts w:ascii="Calibri" w:hAnsi="Calibri" w:cs="Calibri"/>
                <w:b/>
                <w:bCs/>
                <w:color w:val="000000"/>
                <w:sz w:val="18"/>
                <w:szCs w:val="18"/>
              </w:rPr>
              <w:t>n</w:t>
            </w:r>
            <w:r w:rsidRPr="00E14FD6">
              <w:rPr>
                <w:rFonts w:ascii="Calibri" w:hAnsi="Calibri" w:cs="Calibri"/>
                <w:b/>
                <w:bCs/>
                <w:color w:val="000000"/>
                <w:sz w:val="18"/>
                <w:szCs w:val="18"/>
              </w:rPr>
              <w:t xml:space="preserve"> medicines</w:t>
            </w:r>
            <w:r>
              <w:rPr>
                <w:rFonts w:ascii="Calibri" w:hAnsi="Calibri" w:cs="Calibri"/>
                <w:b/>
                <w:bCs/>
                <w:color w:val="000000"/>
                <w:sz w:val="18"/>
                <w:szCs w:val="18"/>
              </w:rPr>
              <w:t xml:space="preserve"> by...</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Pharmacist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Dispenser /</w:t>
            </w:r>
            <w:r w:rsidRPr="00E14FD6">
              <w:rPr>
                <w:rFonts w:ascii="Calibri" w:hAnsi="Calibri" w:cs="Calibri"/>
                <w:b/>
                <w:bCs/>
                <w:color w:val="000000"/>
                <w:sz w:val="18"/>
                <w:szCs w:val="18"/>
              </w:rPr>
              <w:t xml:space="preserve"> pharmacy staff</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 xml:space="preserve">Delivery driver from the pharmacy providing a collection </w:t>
            </w:r>
            <w:r>
              <w:rPr>
                <w:rFonts w:ascii="Calibri" w:hAnsi="Calibri" w:cs="Calibri"/>
                <w:b/>
                <w:bCs/>
                <w:color w:val="000000"/>
                <w:sz w:val="18"/>
                <w:szCs w:val="18"/>
              </w:rPr>
              <w:t>/</w:t>
            </w:r>
            <w:r w:rsidRPr="00E14FD6">
              <w:rPr>
                <w:rFonts w:ascii="Calibri" w:hAnsi="Calibri" w:cs="Calibri"/>
                <w:b/>
                <w:bCs/>
                <w:color w:val="000000"/>
                <w:sz w:val="18"/>
                <w:szCs w:val="18"/>
              </w:rPr>
              <w:t xml:space="preserve"> delivery service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E14FD6" w:rsidRDefault="00684604" w:rsidP="00F3746F">
            <w:pPr>
              <w:jc w:val="left"/>
              <w:rPr>
                <w:rFonts w:ascii="Calibri" w:hAnsi="Calibri" w:cs="Calibri"/>
                <w:b/>
                <w:bCs/>
                <w:color w:val="000000"/>
                <w:sz w:val="18"/>
                <w:szCs w:val="18"/>
              </w:rPr>
            </w:pPr>
            <w:r w:rsidRPr="00E14FD6">
              <w:rPr>
                <w:rFonts w:ascii="Calibri" w:hAnsi="Calibri" w:cs="Calibri"/>
                <w:b/>
                <w:bCs/>
                <w:color w:val="000000"/>
                <w:sz w:val="18"/>
                <w:szCs w:val="18"/>
              </w:rPr>
              <w:t>Person who gave the medicine checked if I had any questions about it</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Those who have been taking prescription medicines for a year or more – All respondents who had been prescribed a medicine</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Taking medicine for a year or more</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Of these, h</w:t>
            </w:r>
            <w:r w:rsidRPr="003D0F00">
              <w:rPr>
                <w:rFonts w:ascii="Calibri" w:hAnsi="Calibri" w:cs="Calibri"/>
                <w:b/>
                <w:bCs/>
                <w:color w:val="000000"/>
                <w:sz w:val="18"/>
                <w:szCs w:val="18"/>
              </w:rPr>
              <w:t>ealthcare professional talked to me about my medicines within the past 12 months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54</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53</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During medicines review, healthcare professional asked if I had any worries about my medicines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During medicines review, healthcare professional asked if I had any problems with opening bottles or packets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During medicines review, healthcare professional asked if I had missed any doses of my medicines recently</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During medicines review, healthcare professional asked if I had cut down on my medicines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During medicines review, healthcare professional asked if I had stopped taking my medicines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45</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Healthcare professional told me that I should keep a list of all medicines I take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52</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3D0F00" w:rsidRDefault="00684604" w:rsidP="00F3746F">
            <w:pPr>
              <w:jc w:val="left"/>
              <w:rPr>
                <w:rFonts w:ascii="Calibri" w:hAnsi="Calibri" w:cs="Calibri"/>
                <w:b/>
                <w:bCs/>
                <w:color w:val="000000"/>
                <w:sz w:val="18"/>
                <w:szCs w:val="18"/>
              </w:rPr>
            </w:pPr>
            <w:r w:rsidRPr="003D0F00">
              <w:rPr>
                <w:rFonts w:ascii="Calibri" w:hAnsi="Calibri" w:cs="Calibri"/>
                <w:b/>
                <w:bCs/>
                <w:color w:val="000000"/>
                <w:sz w:val="18"/>
                <w:szCs w:val="18"/>
              </w:rPr>
              <w:t>I keep a list</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364AA3" w:rsidRDefault="00684604" w:rsidP="00684604">
      <w:pPr>
        <w:pStyle w:val="Heading3"/>
        <w:spacing w:before="0"/>
        <w:rPr>
          <w:rFonts w:asciiTheme="minorHAnsi" w:hAnsiTheme="minorHAnsi" w:cstheme="minorHAnsi"/>
          <w:color w:val="auto"/>
          <w:sz w:val="22"/>
          <w:szCs w:val="22"/>
        </w:rPr>
      </w:pPr>
      <w:bookmarkStart w:id="73" w:name="_Ref381946800"/>
      <w:r w:rsidRPr="00364AA3">
        <w:rPr>
          <w:rFonts w:asciiTheme="minorHAnsi" w:hAnsiTheme="minorHAnsi" w:cstheme="minorHAnsi"/>
          <w:color w:val="auto"/>
          <w:sz w:val="22"/>
          <w:szCs w:val="22"/>
        </w:rPr>
        <w:t>Visits to Community Pharmacies</w:t>
      </w:r>
      <w:bookmarkEnd w:id="73"/>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Visited community pharmacy in last 12 months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66</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64</w:t>
            </w:r>
          </w:p>
        </w:tc>
      </w:tr>
      <w:tr w:rsidR="00684604" w:rsidTr="00F3746F">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sidRPr="005C3462">
              <w:rPr>
                <w:rFonts w:ascii="Calibri" w:hAnsi="Calibri" w:cs="Calibri"/>
                <w:b/>
                <w:bCs/>
                <w:color w:val="000000"/>
                <w:sz w:val="18"/>
                <w:szCs w:val="18"/>
              </w:rPr>
              <w:t xml:space="preserve">Reason for Pharmacy visit </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To have a prescription dispensed</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To purchase a medicine over the counter</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To purchase products other than medicines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For advice about the treatment of a minor condition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For advice about medicines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To use a service provided by the pharmacy (e</w:t>
            </w:r>
            <w:r>
              <w:rPr>
                <w:rFonts w:ascii="Calibri" w:hAnsi="Calibri" w:cs="Calibri"/>
                <w:b/>
                <w:bCs/>
                <w:color w:val="000000"/>
                <w:sz w:val="18"/>
                <w:szCs w:val="18"/>
              </w:rPr>
              <w:t>.</w:t>
            </w:r>
            <w:r w:rsidRPr="005C3462">
              <w:rPr>
                <w:rFonts w:ascii="Calibri" w:hAnsi="Calibri" w:cs="Calibri"/>
                <w:b/>
                <w:bCs/>
                <w:color w:val="000000"/>
                <w:sz w:val="18"/>
                <w:szCs w:val="18"/>
              </w:rPr>
              <w:t>g</w:t>
            </w:r>
            <w:r>
              <w:rPr>
                <w:rFonts w:ascii="Calibri" w:hAnsi="Calibri" w:cs="Calibri"/>
                <w:b/>
                <w:bCs/>
                <w:color w:val="000000"/>
                <w:sz w:val="18"/>
                <w:szCs w:val="18"/>
              </w:rPr>
              <w:t>.</w:t>
            </w:r>
            <w:r w:rsidRPr="005C3462">
              <w:rPr>
                <w:rFonts w:ascii="Calibri" w:hAnsi="Calibri" w:cs="Calibri"/>
                <w:b/>
                <w:bCs/>
                <w:color w:val="000000"/>
                <w:sz w:val="18"/>
                <w:szCs w:val="18"/>
              </w:rPr>
              <w:t xml:space="preserve"> stop smoking, minor ailments, medicines review)</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0</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C3462" w:rsidRDefault="00684604" w:rsidP="00F3746F">
            <w:pPr>
              <w:jc w:val="left"/>
              <w:rPr>
                <w:rFonts w:ascii="Calibri" w:hAnsi="Calibri" w:cs="Calibri"/>
                <w:b/>
                <w:bCs/>
                <w:color w:val="000000"/>
                <w:sz w:val="18"/>
                <w:szCs w:val="18"/>
              </w:rPr>
            </w:pPr>
            <w:r w:rsidRPr="005C3462">
              <w:rPr>
                <w:rFonts w:ascii="Calibri" w:hAnsi="Calibri" w:cs="Calibri"/>
                <w:b/>
                <w:bCs/>
                <w:color w:val="000000"/>
                <w:sz w:val="18"/>
                <w:szCs w:val="18"/>
              </w:rPr>
              <w:t>For advice about the treatment of a long-term condition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w:t>
            </w:r>
          </w:p>
        </w:tc>
      </w:tr>
      <w:tr w:rsidR="00684604" w:rsidTr="00F3746F">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84604" w:rsidRDefault="00684604" w:rsidP="00F3746F">
            <w:pPr>
              <w:jc w:val="left"/>
              <w:rPr>
                <w:rFonts w:ascii="Calibri" w:hAnsi="Calibri" w:cs="Calibri"/>
                <w:color w:val="000000"/>
                <w:sz w:val="22"/>
                <w:szCs w:val="22"/>
              </w:rPr>
            </w:pPr>
            <w:r w:rsidRPr="00F325DF">
              <w:rPr>
                <w:rFonts w:ascii="Calibri" w:hAnsi="Calibri" w:cs="Calibri"/>
                <w:b/>
                <w:color w:val="000000"/>
                <w:sz w:val="18"/>
                <w:szCs w:val="18"/>
              </w:rPr>
              <w:t xml:space="preserve">Rating of </w:t>
            </w:r>
            <w:r>
              <w:rPr>
                <w:rFonts w:ascii="Calibri" w:hAnsi="Calibri" w:cs="Calibri"/>
                <w:b/>
                <w:color w:val="000000"/>
                <w:sz w:val="18"/>
                <w:szCs w:val="18"/>
              </w:rPr>
              <w:t>P</w:t>
            </w:r>
            <w:r w:rsidRPr="00F325DF">
              <w:rPr>
                <w:rFonts w:ascii="Calibri" w:hAnsi="Calibri" w:cs="Calibri"/>
                <w:b/>
                <w:color w:val="000000"/>
                <w:sz w:val="18"/>
                <w:szCs w:val="18"/>
              </w:rPr>
              <w:t>harmacy (Excellent / Good)</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sidRPr="00F325DF">
              <w:rPr>
                <w:rFonts w:ascii="Calibri" w:hAnsi="Calibri" w:cs="Calibri"/>
                <w:b/>
                <w:bCs/>
                <w:color w:val="000000"/>
                <w:sz w:val="18"/>
                <w:szCs w:val="18"/>
              </w:rPr>
              <w:t>Convenience of access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sidRPr="00F325DF">
              <w:rPr>
                <w:rFonts w:ascii="Calibri" w:hAnsi="Calibri" w:cs="Calibri"/>
                <w:b/>
                <w:bCs/>
                <w:color w:val="000000"/>
                <w:sz w:val="18"/>
                <w:szCs w:val="18"/>
              </w:rPr>
              <w:t>Standard of premises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sidRPr="00F325DF">
              <w:rPr>
                <w:rFonts w:ascii="Calibri" w:hAnsi="Calibri" w:cs="Calibri"/>
                <w:b/>
                <w:bCs/>
                <w:color w:val="000000"/>
                <w:sz w:val="18"/>
                <w:szCs w:val="18"/>
              </w:rPr>
              <w:t>Opening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sidRPr="00F325DF">
              <w:rPr>
                <w:rFonts w:ascii="Calibri" w:hAnsi="Calibri" w:cs="Calibri"/>
                <w:b/>
                <w:bCs/>
                <w:color w:val="000000"/>
                <w:sz w:val="18"/>
                <w:szCs w:val="18"/>
              </w:rPr>
              <w:t>Quality of advice provided</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sidRPr="00F325DF">
              <w:rPr>
                <w:rFonts w:ascii="Calibri" w:hAnsi="Calibri" w:cs="Calibri"/>
                <w:b/>
                <w:bCs/>
                <w:color w:val="000000"/>
                <w:sz w:val="18"/>
                <w:szCs w:val="18"/>
              </w:rPr>
              <w:t>Confidentiality</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25DF" w:rsidRDefault="00684604" w:rsidP="00F3746F">
            <w:pPr>
              <w:jc w:val="left"/>
              <w:rPr>
                <w:rFonts w:ascii="Calibri" w:hAnsi="Calibri" w:cs="Calibri"/>
                <w:b/>
                <w:bCs/>
                <w:color w:val="000000"/>
                <w:sz w:val="18"/>
                <w:szCs w:val="18"/>
              </w:rPr>
            </w:pPr>
            <w:r>
              <w:rPr>
                <w:rFonts w:ascii="Calibri" w:hAnsi="Calibri" w:cs="Calibri"/>
                <w:b/>
                <w:bCs/>
                <w:color w:val="000000"/>
                <w:sz w:val="18"/>
                <w:szCs w:val="18"/>
              </w:rPr>
              <w:t>Very satis</w:t>
            </w:r>
            <w:r w:rsidRPr="00F325DF">
              <w:rPr>
                <w:rFonts w:ascii="Calibri" w:hAnsi="Calibri" w:cs="Calibri"/>
                <w:b/>
                <w:bCs/>
                <w:color w:val="000000"/>
                <w:sz w:val="18"/>
                <w:szCs w:val="18"/>
              </w:rPr>
              <w:t>fied / satisfied by service provided by community pharmacy</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96</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99</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F21DBB" w:rsidRDefault="00684604" w:rsidP="00684604">
      <w:pPr>
        <w:tabs>
          <w:tab w:val="center" w:pos="4075"/>
        </w:tabs>
        <w:autoSpaceDE w:val="0"/>
        <w:autoSpaceDN w:val="0"/>
        <w:adjustRightInd w:val="0"/>
        <w:rPr>
          <w:rFonts w:asciiTheme="minorHAnsi" w:hAnsiTheme="minorHAnsi" w:cstheme="minorHAnsi"/>
          <w:b/>
          <w:sz w:val="22"/>
          <w:szCs w:val="22"/>
        </w:rPr>
      </w:pPr>
      <w:r w:rsidRPr="00F21DBB">
        <w:rPr>
          <w:rFonts w:ascii="Calibri" w:hAnsi="Calibri" w:cs="Calibri"/>
          <w:b/>
          <w:color w:val="000000"/>
          <w:sz w:val="22"/>
          <w:szCs w:val="22"/>
          <w:lang w:eastAsia="en-GB"/>
        </w:rPr>
        <w:t>Proportion of respondents who would be content for a pharmacist to have an increased involvement in helping to manage your medicines by</w:t>
      </w:r>
      <w:r>
        <w:rPr>
          <w:rFonts w:ascii="Calibri" w:hAnsi="Calibri" w:cs="Calibri"/>
          <w:b/>
          <w:color w:val="000000"/>
          <w:sz w:val="22"/>
          <w:szCs w:val="22"/>
          <w:lang w:eastAsia="en-GB"/>
        </w:rPr>
        <w:t>...</w:t>
      </w:r>
      <w:r w:rsidRPr="00F21DBB">
        <w:rPr>
          <w:rFonts w:asciiTheme="minorHAnsi" w:hAnsiTheme="minorHAnsi" w:cstheme="minorHAnsi"/>
          <w:b/>
          <w:sz w:val="22"/>
          <w:szCs w:val="22"/>
        </w:rPr>
        <w:t xml:space="preserve"> </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75+</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Having access to information about medicine prescribed to you</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Providing detailed information about your medicine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Providing relevant health information to help manage a long-term condition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Reviewing your medicine regularly to help ensure that you get the expected outcome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Identifying any changes to treatment to help you get the most benefit from your medicine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63</w:t>
            </w:r>
          </w:p>
        </w:tc>
      </w:tr>
      <w:tr w:rsidR="00684604" w:rsidTr="00F3746F">
        <w:trPr>
          <w:trHeight w:val="227"/>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Referring you to your GP</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51526E" w:rsidRDefault="00684604" w:rsidP="00F3746F">
            <w:pPr>
              <w:jc w:val="left"/>
              <w:rPr>
                <w:rFonts w:ascii="Calibri" w:hAnsi="Calibri" w:cs="Calibri"/>
                <w:b/>
                <w:bCs/>
                <w:color w:val="000000"/>
                <w:sz w:val="17"/>
                <w:szCs w:val="17"/>
              </w:rPr>
            </w:pPr>
            <w:r w:rsidRPr="0051526E">
              <w:rPr>
                <w:rFonts w:ascii="Calibri" w:hAnsi="Calibri" w:cs="Calibri"/>
                <w:b/>
                <w:bCs/>
                <w:color w:val="000000"/>
                <w:sz w:val="17"/>
                <w:szCs w:val="17"/>
              </w:rPr>
              <w:t>Referring you to other health or social care services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69</w:t>
            </w:r>
          </w:p>
        </w:tc>
      </w:tr>
    </w:tbl>
    <w:p w:rsidR="00684604" w:rsidRPr="00F21DBB" w:rsidRDefault="00684604" w:rsidP="00684604">
      <w:pPr>
        <w:tabs>
          <w:tab w:val="center" w:pos="4075"/>
        </w:tabs>
        <w:autoSpaceDE w:val="0"/>
        <w:autoSpaceDN w:val="0"/>
        <w:adjustRightInd w:val="0"/>
        <w:spacing w:before="120"/>
        <w:rPr>
          <w:rFonts w:asciiTheme="minorHAnsi" w:hAnsiTheme="minorHAnsi" w:cstheme="minorHAnsi"/>
          <w:b/>
          <w:sz w:val="22"/>
          <w:szCs w:val="22"/>
        </w:rPr>
      </w:pPr>
      <w:r>
        <w:rPr>
          <w:rFonts w:ascii="Calibri" w:hAnsi="Calibri" w:cs="Calibri"/>
          <w:b/>
          <w:color w:val="000000"/>
          <w:sz w:val="22"/>
          <w:szCs w:val="22"/>
          <w:lang w:eastAsia="en-GB"/>
        </w:rPr>
        <w:t>Likeliness of using the following services at a Community Pharmacy</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41ACD" w:rsidRDefault="00684604" w:rsidP="00F3746F">
            <w:pPr>
              <w:rPr>
                <w:rFonts w:ascii="Calibri" w:hAnsi="Calibri" w:cs="Calibri"/>
                <w:b/>
                <w:bCs/>
                <w:color w:val="000000"/>
                <w:sz w:val="18"/>
                <w:szCs w:val="18"/>
                <w:lang w:eastAsia="en-GB"/>
              </w:rPr>
            </w:pPr>
            <w:r w:rsidRPr="00441ACD">
              <w:rPr>
                <w:rFonts w:ascii="Calibri" w:hAnsi="Calibri" w:cs="Calibri"/>
                <w:b/>
                <w:bCs/>
                <w:color w:val="000000"/>
                <w:sz w:val="18"/>
                <w:szCs w:val="18"/>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Pr="00441ACD" w:rsidRDefault="00684604" w:rsidP="00F3746F">
            <w:pPr>
              <w:rPr>
                <w:rFonts w:ascii="Calibri" w:hAnsi="Calibri" w:cs="Calibri"/>
                <w:b/>
                <w:bCs/>
                <w:color w:val="000000"/>
                <w:sz w:val="18"/>
                <w:szCs w:val="18"/>
              </w:rPr>
            </w:pPr>
            <w:r w:rsidRPr="00441ACD">
              <w:rPr>
                <w:rFonts w:ascii="Calibri" w:hAnsi="Calibri" w:cs="Calibri"/>
                <w:b/>
                <w:bCs/>
                <w:color w:val="000000"/>
                <w:sz w:val="18"/>
                <w:szCs w:val="18"/>
              </w:rPr>
              <w:t>75+</w:t>
            </w:r>
          </w:p>
        </w:tc>
      </w:tr>
      <w:tr w:rsidR="00684604" w:rsidTr="00F3746F">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3746F" w:rsidRDefault="00684604" w:rsidP="00F3746F">
            <w:pPr>
              <w:jc w:val="left"/>
              <w:rPr>
                <w:rFonts w:ascii="Calibri" w:hAnsi="Calibri" w:cs="Calibri"/>
                <w:b/>
                <w:bCs/>
                <w:color w:val="000000"/>
                <w:sz w:val="17"/>
                <w:szCs w:val="17"/>
              </w:rPr>
            </w:pPr>
            <w:r w:rsidRPr="00F3746F">
              <w:rPr>
                <w:rFonts w:ascii="Calibri" w:hAnsi="Calibri" w:cs="Calibri"/>
                <w:b/>
                <w:bCs/>
                <w:color w:val="000000"/>
                <w:sz w:val="17"/>
                <w:szCs w:val="17"/>
              </w:rPr>
              <w:t>Provi</w:t>
            </w:r>
            <w:r w:rsidR="00F3746F">
              <w:rPr>
                <w:rFonts w:ascii="Calibri" w:hAnsi="Calibri" w:cs="Calibri"/>
                <w:b/>
                <w:bCs/>
                <w:color w:val="000000"/>
                <w:sz w:val="17"/>
                <w:szCs w:val="17"/>
              </w:rPr>
              <w:t>sion of services which screen /</w:t>
            </w:r>
            <w:r w:rsidRPr="00F3746F">
              <w:rPr>
                <w:rFonts w:ascii="Calibri" w:hAnsi="Calibri" w:cs="Calibri"/>
                <w:b/>
                <w:bCs/>
                <w:color w:val="000000"/>
                <w:sz w:val="17"/>
                <w:szCs w:val="17"/>
              </w:rPr>
              <w:t xml:space="preserve"> test for undiagnosed conditions, e.g. diabetes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Flu vaccination clinic</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 xml:space="preserve">Provision of advice and information to help you stay healthy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Weight management service</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Contraception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40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w:t>
            </w:r>
          </w:p>
        </w:tc>
      </w:tr>
      <w:tr w:rsidR="00684604" w:rsidTr="00F3746F">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Sexual health services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w:t>
            </w:r>
          </w:p>
        </w:tc>
      </w:tr>
      <w:tr w:rsidR="00684604" w:rsidTr="00F3746F">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Reducing alcohol use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24</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26</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27</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21</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20</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30</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31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35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10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8</w:t>
            </w:r>
          </w:p>
        </w:tc>
      </w:tr>
      <w:tr w:rsidR="00684604" w:rsidTr="00F3746F">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24600E" w:rsidRDefault="00684604" w:rsidP="00F3746F">
            <w:pPr>
              <w:jc w:val="left"/>
              <w:rPr>
                <w:rFonts w:ascii="Calibri" w:hAnsi="Calibri" w:cs="Calibri"/>
                <w:b/>
                <w:bCs/>
                <w:color w:val="000000"/>
                <w:sz w:val="18"/>
                <w:szCs w:val="18"/>
              </w:rPr>
            </w:pPr>
            <w:r w:rsidRPr="0024600E">
              <w:rPr>
                <w:rFonts w:ascii="Calibri" w:hAnsi="Calibri" w:cs="Calibri"/>
                <w:b/>
                <w:bCs/>
                <w:color w:val="000000"/>
                <w:sz w:val="18"/>
                <w:szCs w:val="18"/>
              </w:rPr>
              <w:t>Stop smoking services (Current smokers only)</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66</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59</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67</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66</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52</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Pr="00441ACD" w:rsidRDefault="00684604" w:rsidP="00F3746F">
            <w:pPr>
              <w:jc w:val="right"/>
              <w:rPr>
                <w:rFonts w:ascii="Calibri" w:hAnsi="Calibri" w:cs="Calibri"/>
                <w:color w:val="000000"/>
              </w:rPr>
            </w:pPr>
            <w:r w:rsidRPr="00441ACD">
              <w:rPr>
                <w:rFonts w:ascii="Calibri" w:hAnsi="Calibri" w:cs="Calibri"/>
                <w:color w:val="000000"/>
              </w:rPr>
              <w:t>57</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76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65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54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46</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43</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Pr="00441ACD" w:rsidRDefault="00684604" w:rsidP="00F3746F">
            <w:pPr>
              <w:jc w:val="right"/>
              <w:rPr>
                <w:rFonts w:ascii="Calibri" w:hAnsi="Calibri" w:cs="Calibri"/>
                <w:color w:val="000000"/>
              </w:rPr>
            </w:pPr>
            <w:r w:rsidRPr="00441ACD">
              <w:rPr>
                <w:rFonts w:ascii="Calibri" w:hAnsi="Calibri" w:cs="Calibri"/>
                <w:color w:val="000000"/>
              </w:rPr>
              <w:t>28</w:t>
            </w:r>
          </w:p>
        </w:tc>
      </w:tr>
    </w:tbl>
    <w:p w:rsidR="00684604" w:rsidRPr="00F10695" w:rsidRDefault="00684604" w:rsidP="00684604">
      <w:pPr>
        <w:tabs>
          <w:tab w:val="center" w:pos="4075"/>
        </w:tabs>
        <w:autoSpaceDE w:val="0"/>
        <w:autoSpaceDN w:val="0"/>
        <w:adjustRightInd w:val="0"/>
        <w:rPr>
          <w:rFonts w:asciiTheme="minorHAnsi" w:hAnsiTheme="minorHAnsi" w:cstheme="minorHAnsi"/>
          <w:b/>
          <w:sz w:val="22"/>
          <w:szCs w:val="22"/>
        </w:rPr>
      </w:pPr>
      <w:r w:rsidRPr="00F10695">
        <w:rPr>
          <w:rFonts w:ascii="Calibri" w:hAnsi="Calibri" w:cs="Calibri"/>
          <w:b/>
          <w:color w:val="000000"/>
          <w:sz w:val="22"/>
          <w:szCs w:val="22"/>
          <w:lang w:eastAsia="en-GB"/>
        </w:rPr>
        <w:t>Health &amp; Social Care Services Rating in terms of... (Excellent / Good)</w:t>
      </w:r>
      <w:r>
        <w:rPr>
          <w:rFonts w:ascii="Calibri" w:hAnsi="Calibri" w:cs="Calibri"/>
          <w:b/>
          <w:color w:val="000000"/>
          <w:sz w:val="22"/>
          <w:szCs w:val="22"/>
          <w:lang w:eastAsia="en-GB"/>
        </w:rPr>
        <w:t xml:space="preserve"> – All Respondents</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Safety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Effectiveness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82</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Default="00684604" w:rsidP="00F3746F">
            <w:pPr>
              <w:rPr>
                <w:rFonts w:ascii="Calibri" w:hAnsi="Calibri" w:cs="Calibri"/>
                <w:b/>
                <w:bCs/>
                <w:color w:val="000000"/>
              </w:rPr>
            </w:pPr>
            <w:r>
              <w:rPr>
                <w:rFonts w:ascii="Calibri" w:hAnsi="Calibri" w:cs="Calibri"/>
                <w:b/>
                <w:bCs/>
                <w:color w:val="000000"/>
              </w:rPr>
              <w:t>Patient Experience</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86</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83</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Pr="00F10695" w:rsidRDefault="00684604" w:rsidP="00684604">
      <w:pPr>
        <w:tabs>
          <w:tab w:val="center" w:pos="4075"/>
        </w:tabs>
        <w:autoSpaceDE w:val="0"/>
        <w:autoSpaceDN w:val="0"/>
        <w:adjustRightInd w:val="0"/>
        <w:rPr>
          <w:rFonts w:asciiTheme="minorHAnsi" w:hAnsiTheme="minorHAnsi" w:cstheme="minorHAnsi"/>
          <w:b/>
          <w:sz w:val="22"/>
          <w:szCs w:val="22"/>
        </w:rPr>
      </w:pPr>
      <w:r>
        <w:rPr>
          <w:rFonts w:ascii="Calibri" w:hAnsi="Calibri" w:cs="Calibri"/>
          <w:b/>
          <w:color w:val="000000"/>
          <w:sz w:val="22"/>
          <w:szCs w:val="22"/>
          <w:lang w:eastAsia="en-GB"/>
        </w:rPr>
        <w:t>Complaints procedures – All Respondents</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84604" w:rsidRPr="00EB5B0E" w:rsidTr="00F3746F">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BE1A84" w:rsidRDefault="00684604" w:rsidP="00F3746F">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3661" w:rsidRDefault="00684604" w:rsidP="00F3746F">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951E81" w:rsidRDefault="00684604" w:rsidP="00F3746F">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EB5B0E" w:rsidRDefault="00684604" w:rsidP="00F3746F">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84604" w:rsidRPr="00EB5B0E" w:rsidRDefault="00684604" w:rsidP="00F3746F">
            <w:pPr>
              <w:jc w:val="center"/>
              <w:rPr>
                <w:rFonts w:ascii="Calibri" w:hAnsi="Calibri" w:cs="Calibri"/>
                <w:b/>
                <w:bCs/>
                <w:color w:val="000000"/>
                <w:lang w:eastAsia="en-GB"/>
              </w:rPr>
            </w:pPr>
            <w:r>
              <w:rPr>
                <w:rFonts w:ascii="Calibri" w:hAnsi="Calibri" w:cs="Calibri"/>
                <w:b/>
                <w:bCs/>
                <w:color w:val="000000"/>
                <w:lang w:eastAsia="en-GB"/>
              </w:rPr>
              <w:t>Age</w:t>
            </w:r>
          </w:p>
        </w:tc>
      </w:tr>
      <w:tr w:rsidR="00684604" w:rsidTr="00F3746F">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84604" w:rsidRPr="00462493" w:rsidRDefault="00684604" w:rsidP="00F3746F">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84604" w:rsidRDefault="00684604" w:rsidP="00F3746F">
            <w:pPr>
              <w:rPr>
                <w:rFonts w:ascii="Calibri" w:hAnsi="Calibri" w:cs="Calibri"/>
                <w:b/>
                <w:bCs/>
                <w:color w:val="000000"/>
              </w:rPr>
            </w:pPr>
            <w:r>
              <w:rPr>
                <w:rFonts w:ascii="Calibri" w:hAnsi="Calibri" w:cs="Calibri"/>
                <w:b/>
                <w:bCs/>
                <w:color w:val="000000"/>
              </w:rPr>
              <w:t>75+</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Asked to give views on the quality of the care received from a health &amp; social care service</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9</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8</w:t>
            </w:r>
          </w:p>
        </w:tc>
      </w:tr>
      <w:tr w:rsidR="00684604" w:rsidTr="00F3746F">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Aware that there is a Health and Social Care Complaints Procedure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60</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Have seen posters or leaflets explaining how to complain</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r>
      <w:tr w:rsidR="00684604" w:rsidTr="00F3746F">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Know how to go about making a complaint</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r>
      <w:tr w:rsidR="00684604" w:rsidTr="00F3746F">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Ever wanted to complain about care received</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11</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F10695" w:rsidRDefault="00684604" w:rsidP="00F3746F">
            <w:pPr>
              <w:jc w:val="left"/>
              <w:rPr>
                <w:rFonts w:ascii="Calibri" w:hAnsi="Calibri" w:cs="Calibri"/>
                <w:b/>
                <w:bCs/>
                <w:color w:val="000000"/>
                <w:sz w:val="18"/>
                <w:szCs w:val="18"/>
              </w:rPr>
            </w:pPr>
            <w:r w:rsidRPr="00F10695">
              <w:rPr>
                <w:rFonts w:ascii="Calibri" w:hAnsi="Calibri" w:cs="Calibri"/>
                <w:b/>
                <w:bCs/>
                <w:color w:val="000000"/>
                <w:sz w:val="18"/>
                <w:szCs w:val="18"/>
              </w:rPr>
              <w:t>Of these, made a complaint</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27</w:t>
            </w:r>
          </w:p>
        </w:tc>
      </w:tr>
      <w:tr w:rsidR="00684604" w:rsidTr="00F3746F">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84604" w:rsidRPr="00D11B51" w:rsidRDefault="00684604" w:rsidP="00F3746F">
            <w:pPr>
              <w:jc w:val="left"/>
              <w:rPr>
                <w:rFonts w:ascii="Calibri" w:hAnsi="Calibri" w:cs="Calibri"/>
                <w:b/>
                <w:bCs/>
                <w:color w:val="000000"/>
                <w:sz w:val="18"/>
                <w:szCs w:val="18"/>
              </w:rPr>
            </w:pPr>
            <w:r w:rsidRPr="00D11B51">
              <w:rPr>
                <w:rFonts w:ascii="Calibri" w:hAnsi="Calibri" w:cs="Calibri"/>
                <w:b/>
                <w:bCs/>
                <w:color w:val="000000"/>
                <w:sz w:val="18"/>
                <w:szCs w:val="18"/>
              </w:rPr>
              <w:t>Aware that it is a legal requirement for HSC bodies to involve and consult with people in decisions about the planning and delivery of HSC services</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31</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84604" w:rsidRDefault="00684604" w:rsidP="00F3746F">
            <w:pPr>
              <w:jc w:val="right"/>
              <w:rPr>
                <w:rFonts w:ascii="Calibri" w:hAnsi="Calibri" w:cs="Calibri"/>
                <w:color w:val="000000"/>
                <w:sz w:val="22"/>
                <w:szCs w:val="22"/>
              </w:rPr>
            </w:pPr>
            <w:r>
              <w:rPr>
                <w:rFonts w:ascii="Calibri" w:hAnsi="Calibri" w:cs="Calibri"/>
                <w:color w:val="000000"/>
                <w:sz w:val="22"/>
                <w:szCs w:val="22"/>
              </w:rPr>
              <w:t>21</w:t>
            </w:r>
          </w:p>
        </w:tc>
      </w:tr>
    </w:tbl>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684604">
      <w:pPr>
        <w:tabs>
          <w:tab w:val="center" w:pos="4075"/>
        </w:tabs>
        <w:autoSpaceDE w:val="0"/>
        <w:autoSpaceDN w:val="0"/>
        <w:adjustRightInd w:val="0"/>
        <w:rPr>
          <w:rFonts w:asciiTheme="minorHAnsi" w:hAnsiTheme="minorHAnsi" w:cstheme="minorHAnsi"/>
          <w:b/>
          <w:sz w:val="22"/>
          <w:szCs w:val="22"/>
        </w:rPr>
      </w:pPr>
    </w:p>
    <w:p w:rsidR="00684604" w:rsidRDefault="00684604" w:rsidP="00AC756F">
      <w:pPr>
        <w:pStyle w:val="Heading3"/>
        <w:spacing w:before="0"/>
        <w:rPr>
          <w:rFonts w:asciiTheme="minorHAnsi" w:hAnsiTheme="minorHAnsi" w:cstheme="minorHAnsi"/>
          <w:color w:val="auto"/>
          <w:sz w:val="22"/>
          <w:szCs w:val="22"/>
        </w:rPr>
      </w:pPr>
    </w:p>
    <w:p w:rsidR="00F3746F" w:rsidRDefault="00F3746F" w:rsidP="00F3746F"/>
    <w:p w:rsidR="00F3746F" w:rsidRPr="00F3746F" w:rsidRDefault="00F3746F" w:rsidP="00F3746F"/>
    <w:p w:rsidR="00175B90" w:rsidRPr="00AC756F" w:rsidRDefault="005B1F78" w:rsidP="00AC756F">
      <w:pPr>
        <w:pStyle w:val="Heading3"/>
        <w:spacing w:before="0"/>
        <w:rPr>
          <w:rFonts w:asciiTheme="minorHAnsi" w:hAnsiTheme="minorHAnsi" w:cstheme="minorHAnsi"/>
          <w:color w:val="auto"/>
          <w:sz w:val="22"/>
          <w:szCs w:val="22"/>
        </w:rPr>
      </w:pPr>
      <w:bookmarkStart w:id="74" w:name="_Ref382559144"/>
      <w:r w:rsidRPr="00AC756F">
        <w:rPr>
          <w:rFonts w:asciiTheme="minorHAnsi" w:hAnsiTheme="minorHAnsi" w:cstheme="minorHAnsi"/>
          <w:color w:val="auto"/>
          <w:sz w:val="22"/>
          <w:szCs w:val="22"/>
        </w:rPr>
        <w:t xml:space="preserve">Which of these best describes the life you lead? </w:t>
      </w:r>
      <w:r w:rsidR="00175B90" w:rsidRPr="00AC756F">
        <w:rPr>
          <w:rFonts w:asciiTheme="minorHAnsi" w:hAnsiTheme="minorHAnsi" w:cstheme="minorHAnsi"/>
          <w:color w:val="auto"/>
          <w:sz w:val="22"/>
          <w:szCs w:val="22"/>
        </w:rPr>
        <w:t>– All Respondents</w:t>
      </w:r>
      <w:bookmarkEnd w:id="67"/>
      <w:bookmarkEnd w:id="74"/>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175B90" w:rsidRPr="00EB5B0E" w:rsidTr="00840B1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175B90" w:rsidRPr="00BE1A84" w:rsidRDefault="00175B90" w:rsidP="00840B1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175B90" w:rsidRPr="00953661" w:rsidRDefault="00175B90" w:rsidP="00840B1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175B90" w:rsidRPr="00462493" w:rsidTr="00840B1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175B90" w:rsidRPr="00462493" w:rsidRDefault="00175B90" w:rsidP="00840B1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175B90" w:rsidRPr="00462493" w:rsidTr="00840B1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pPr>
              <w:rPr>
                <w:rFonts w:ascii="Calibri" w:hAnsi="Calibri" w:cs="Calibri"/>
                <w:b/>
                <w:bCs/>
                <w:color w:val="000000"/>
              </w:rPr>
            </w:pPr>
            <w:r>
              <w:rPr>
                <w:rFonts w:ascii="Calibri" w:hAnsi="Calibri" w:cs="Calibri"/>
                <w:b/>
                <w:bCs/>
                <w:color w:val="000000"/>
              </w:rPr>
              <w:t>Very healthy</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20</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r>
      <w:tr w:rsidR="00175B90" w:rsidRPr="00462493" w:rsidTr="00840B1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pPr>
              <w:rPr>
                <w:rFonts w:ascii="Calibri" w:hAnsi="Calibri" w:cs="Calibri"/>
                <w:b/>
                <w:bCs/>
                <w:color w:val="000000"/>
              </w:rPr>
            </w:pPr>
            <w:r>
              <w:rPr>
                <w:rFonts w:ascii="Calibri" w:hAnsi="Calibri" w:cs="Calibri"/>
                <w:b/>
                <w:bCs/>
                <w:color w:val="000000"/>
              </w:rPr>
              <w:t>Fairly healthy</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69</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69</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75</w:t>
            </w:r>
          </w:p>
        </w:tc>
      </w:tr>
      <w:tr w:rsidR="00175B90" w:rsidRPr="00462493" w:rsidTr="00840B1E">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175B90" w:rsidRDefault="00175B90">
            <w:pPr>
              <w:rPr>
                <w:rFonts w:ascii="Calibri" w:hAnsi="Calibri" w:cs="Calibri"/>
                <w:b/>
                <w:bCs/>
                <w:color w:val="000000"/>
              </w:rPr>
            </w:pPr>
            <w:r>
              <w:rPr>
                <w:rFonts w:ascii="Calibri" w:hAnsi="Calibri" w:cs="Calibri"/>
                <w:b/>
                <w:bCs/>
                <w:color w:val="000000"/>
              </w:rPr>
              <w:t>Unhealthy</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12</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12</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8</w:t>
            </w:r>
          </w:p>
        </w:tc>
      </w:tr>
    </w:tbl>
    <w:p w:rsidR="00175B90" w:rsidRPr="00F642CF" w:rsidRDefault="00175B90" w:rsidP="00175B90">
      <w:pPr>
        <w:tabs>
          <w:tab w:val="center" w:pos="4075"/>
        </w:tabs>
        <w:autoSpaceDE w:val="0"/>
        <w:autoSpaceDN w:val="0"/>
        <w:adjustRightInd w:val="0"/>
        <w:rPr>
          <w:rFonts w:asciiTheme="minorHAnsi" w:hAnsiTheme="minorHAnsi" w:cstheme="minorHAnsi"/>
          <w:b/>
          <w:sz w:val="8"/>
          <w:szCs w:val="8"/>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5B1F78" w:rsidP="00175B90">
      <w:pPr>
        <w:tabs>
          <w:tab w:val="center" w:pos="4075"/>
        </w:tabs>
        <w:autoSpaceDE w:val="0"/>
        <w:autoSpaceDN w:val="0"/>
        <w:adjustRightInd w:val="0"/>
        <w:rPr>
          <w:rFonts w:asciiTheme="minorHAnsi" w:hAnsiTheme="minorHAnsi" w:cstheme="minorHAnsi"/>
          <w:b/>
          <w:sz w:val="22"/>
          <w:szCs w:val="22"/>
        </w:rPr>
      </w:pPr>
      <w:r w:rsidRPr="005B1F78">
        <w:rPr>
          <w:rFonts w:asciiTheme="minorHAnsi" w:hAnsiTheme="minorHAnsi" w:cstheme="minorHAnsi"/>
          <w:b/>
          <w:sz w:val="22"/>
          <w:szCs w:val="22"/>
        </w:rPr>
        <w:t xml:space="preserve">Which of </w:t>
      </w:r>
      <w:r>
        <w:rPr>
          <w:rFonts w:asciiTheme="minorHAnsi" w:hAnsiTheme="minorHAnsi" w:cstheme="minorHAnsi"/>
          <w:b/>
          <w:sz w:val="22"/>
          <w:szCs w:val="22"/>
        </w:rPr>
        <w:t>these</w:t>
      </w:r>
      <w:r w:rsidRPr="005B1F78">
        <w:rPr>
          <w:rFonts w:asciiTheme="minorHAnsi" w:hAnsiTheme="minorHAnsi" w:cstheme="minorHAnsi"/>
          <w:b/>
          <w:sz w:val="22"/>
          <w:szCs w:val="22"/>
        </w:rPr>
        <w:t xml:space="preserve"> best describes the life you lead</w:t>
      </w:r>
      <w:r>
        <w:rPr>
          <w:rFonts w:asciiTheme="minorHAnsi" w:hAnsiTheme="minorHAnsi" w:cstheme="minorHAnsi"/>
          <w:b/>
          <w:sz w:val="22"/>
          <w:szCs w:val="22"/>
        </w:rPr>
        <w:t>?</w:t>
      </w:r>
      <w:r w:rsidR="00175B90">
        <w:rPr>
          <w:rFonts w:asciiTheme="minorHAnsi" w:hAnsiTheme="minorHAnsi" w:cstheme="minorHAnsi"/>
          <w:b/>
          <w:sz w:val="22"/>
          <w:szCs w:val="22"/>
        </w:rPr>
        <w:t xml:space="preserve"> –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175B90" w:rsidRPr="00EB5B0E" w:rsidTr="00840B1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175B90" w:rsidRPr="00BE1A84" w:rsidRDefault="00175B90" w:rsidP="00840B1E">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175B90" w:rsidRPr="00EB5B0E" w:rsidRDefault="00175B90" w:rsidP="00840B1E">
            <w:pPr>
              <w:jc w:val="center"/>
              <w:rPr>
                <w:rFonts w:ascii="Calibri" w:hAnsi="Calibri" w:cs="Calibri"/>
                <w:b/>
                <w:bCs/>
                <w:color w:val="000000"/>
                <w:lang w:eastAsia="en-GB"/>
              </w:rPr>
            </w:pPr>
            <w:r>
              <w:rPr>
                <w:rFonts w:ascii="Calibri" w:hAnsi="Calibri" w:cs="Calibri"/>
                <w:b/>
                <w:bCs/>
                <w:color w:val="000000"/>
                <w:lang w:eastAsia="en-GB"/>
              </w:rPr>
              <w:t>Age</w:t>
            </w:r>
          </w:p>
        </w:tc>
      </w:tr>
      <w:tr w:rsidR="00175B90" w:rsidRPr="00462493" w:rsidTr="00840B1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175B90" w:rsidRPr="00462493" w:rsidRDefault="00175B90" w:rsidP="00840B1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75+</w:t>
            </w:r>
          </w:p>
        </w:tc>
      </w:tr>
      <w:tr w:rsidR="00175B90" w:rsidRPr="00462493" w:rsidTr="00840B1E">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rsidP="00840B1E">
            <w:pPr>
              <w:rPr>
                <w:rFonts w:ascii="Calibri" w:hAnsi="Calibri" w:cs="Calibri"/>
                <w:b/>
                <w:bCs/>
                <w:color w:val="000000"/>
              </w:rPr>
            </w:pPr>
            <w:r>
              <w:rPr>
                <w:rFonts w:ascii="Calibri" w:hAnsi="Calibri" w:cs="Calibri"/>
                <w:b/>
                <w:bCs/>
                <w:color w:val="000000"/>
              </w:rPr>
              <w:t>Very healthy</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20</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20</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20</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22</w:t>
            </w:r>
          </w:p>
        </w:tc>
      </w:tr>
      <w:tr w:rsidR="00175B90" w:rsidRPr="00462493" w:rsidTr="00840B1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rsidP="00840B1E">
            <w:pPr>
              <w:rPr>
                <w:rFonts w:ascii="Calibri" w:hAnsi="Calibri" w:cs="Calibri"/>
                <w:b/>
                <w:bCs/>
                <w:color w:val="000000"/>
              </w:rPr>
            </w:pPr>
            <w:r>
              <w:rPr>
                <w:rFonts w:ascii="Calibri" w:hAnsi="Calibri" w:cs="Calibri"/>
                <w:b/>
                <w:bCs/>
                <w:color w:val="000000"/>
              </w:rPr>
              <w:t>Fairly healthy</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69</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69</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62</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68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71</w:t>
            </w:r>
          </w:p>
        </w:tc>
      </w:tr>
      <w:tr w:rsidR="00175B90" w:rsidRPr="00462493" w:rsidTr="00840B1E">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175B90" w:rsidRDefault="00175B90" w:rsidP="00840B1E">
            <w:pPr>
              <w:rPr>
                <w:rFonts w:ascii="Calibri" w:hAnsi="Calibri" w:cs="Calibri"/>
                <w:b/>
                <w:bCs/>
                <w:color w:val="000000"/>
              </w:rPr>
            </w:pPr>
            <w:r>
              <w:rPr>
                <w:rFonts w:ascii="Calibri" w:hAnsi="Calibri" w:cs="Calibri"/>
                <w:b/>
                <w:bCs/>
                <w:color w:val="000000"/>
              </w:rPr>
              <w:t>Unhealthy</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6</w:t>
            </w:r>
          </w:p>
        </w:tc>
      </w:tr>
    </w:tbl>
    <w:p w:rsidR="00175B90" w:rsidRPr="00F642CF" w:rsidRDefault="00175B90" w:rsidP="00175B90">
      <w:pPr>
        <w:tabs>
          <w:tab w:val="center" w:pos="4075"/>
        </w:tabs>
        <w:autoSpaceDE w:val="0"/>
        <w:autoSpaceDN w:val="0"/>
        <w:adjustRightInd w:val="0"/>
        <w:rPr>
          <w:rFonts w:asciiTheme="minorHAnsi" w:hAnsiTheme="minorHAnsi" w:cstheme="minorHAnsi"/>
          <w:b/>
          <w:sz w:val="8"/>
          <w:szCs w:val="8"/>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5B1F78" w:rsidP="00175B90">
      <w:pPr>
        <w:tabs>
          <w:tab w:val="center" w:pos="4075"/>
        </w:tabs>
        <w:autoSpaceDE w:val="0"/>
        <w:autoSpaceDN w:val="0"/>
        <w:adjustRightInd w:val="0"/>
        <w:rPr>
          <w:rFonts w:asciiTheme="minorHAnsi" w:hAnsiTheme="minorHAnsi" w:cstheme="minorHAnsi"/>
          <w:b/>
          <w:sz w:val="22"/>
          <w:szCs w:val="22"/>
        </w:rPr>
      </w:pPr>
      <w:r w:rsidRPr="005B1F78">
        <w:rPr>
          <w:rFonts w:asciiTheme="minorHAnsi" w:hAnsiTheme="minorHAnsi" w:cstheme="minorHAnsi"/>
          <w:b/>
          <w:sz w:val="22"/>
          <w:szCs w:val="22"/>
        </w:rPr>
        <w:t xml:space="preserve">Which of </w:t>
      </w:r>
      <w:r>
        <w:rPr>
          <w:rFonts w:asciiTheme="minorHAnsi" w:hAnsiTheme="minorHAnsi" w:cstheme="minorHAnsi"/>
          <w:b/>
          <w:sz w:val="22"/>
          <w:szCs w:val="22"/>
        </w:rPr>
        <w:t>these</w:t>
      </w:r>
      <w:r w:rsidRPr="005B1F78">
        <w:rPr>
          <w:rFonts w:asciiTheme="minorHAnsi" w:hAnsiTheme="minorHAnsi" w:cstheme="minorHAnsi"/>
          <w:b/>
          <w:sz w:val="22"/>
          <w:szCs w:val="22"/>
        </w:rPr>
        <w:t xml:space="preserve"> best describes the life you lead</w:t>
      </w:r>
      <w:r>
        <w:rPr>
          <w:rFonts w:asciiTheme="minorHAnsi" w:hAnsiTheme="minorHAnsi" w:cstheme="minorHAnsi"/>
          <w:b/>
          <w:sz w:val="22"/>
          <w:szCs w:val="22"/>
        </w:rPr>
        <w:t>?</w:t>
      </w:r>
      <w:r w:rsidR="00175B90">
        <w:rPr>
          <w:rFonts w:asciiTheme="minorHAnsi" w:hAnsiTheme="minorHAnsi" w:cstheme="minorHAnsi"/>
          <w:b/>
          <w:sz w:val="22"/>
          <w:szCs w:val="22"/>
        </w:rPr>
        <w:t xml:space="preserve"> –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175B90" w:rsidRPr="00EB5B0E" w:rsidTr="00840B1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175B90" w:rsidRPr="00BE1A84" w:rsidRDefault="00175B90" w:rsidP="00840B1E">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175B90" w:rsidRPr="00EB5B0E" w:rsidRDefault="00175B90" w:rsidP="00840B1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175B90" w:rsidRPr="00EB5B0E" w:rsidRDefault="00175B90" w:rsidP="00840B1E">
            <w:pPr>
              <w:jc w:val="center"/>
              <w:rPr>
                <w:rFonts w:ascii="Calibri" w:hAnsi="Calibri" w:cs="Calibri"/>
                <w:b/>
                <w:bCs/>
                <w:color w:val="000000"/>
                <w:lang w:eastAsia="en-GB"/>
              </w:rPr>
            </w:pPr>
            <w:r>
              <w:rPr>
                <w:rFonts w:ascii="Calibri" w:hAnsi="Calibri" w:cs="Calibri"/>
                <w:b/>
                <w:bCs/>
                <w:color w:val="000000"/>
                <w:lang w:eastAsia="en-GB"/>
              </w:rPr>
              <w:t>Age</w:t>
            </w:r>
          </w:p>
        </w:tc>
      </w:tr>
      <w:tr w:rsidR="00175B90" w:rsidTr="00840B1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175B90" w:rsidRPr="00462493" w:rsidRDefault="00175B90" w:rsidP="00840B1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75B90" w:rsidRPr="00462493" w:rsidRDefault="00175B90" w:rsidP="00840B1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175B90" w:rsidRDefault="00175B90" w:rsidP="00840B1E">
            <w:pPr>
              <w:rPr>
                <w:rFonts w:ascii="Calibri" w:hAnsi="Calibri" w:cs="Calibri"/>
                <w:b/>
                <w:bCs/>
                <w:color w:val="000000"/>
              </w:rPr>
            </w:pPr>
            <w:r>
              <w:rPr>
                <w:rFonts w:ascii="Calibri" w:hAnsi="Calibri" w:cs="Calibri"/>
                <w:b/>
                <w:bCs/>
                <w:color w:val="000000"/>
              </w:rPr>
              <w:t>75+</w:t>
            </w:r>
          </w:p>
        </w:tc>
      </w:tr>
      <w:tr w:rsidR="00175B90" w:rsidTr="00840B1E">
        <w:trPr>
          <w:trHeight w:val="300"/>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rsidP="00840B1E">
            <w:pPr>
              <w:rPr>
                <w:rFonts w:ascii="Calibri" w:hAnsi="Calibri" w:cs="Calibri"/>
                <w:b/>
                <w:bCs/>
                <w:color w:val="000000"/>
              </w:rPr>
            </w:pPr>
            <w:r>
              <w:rPr>
                <w:rFonts w:ascii="Calibri" w:hAnsi="Calibri" w:cs="Calibri"/>
                <w:b/>
                <w:bCs/>
                <w:color w:val="000000"/>
              </w:rPr>
              <w:t>Very healthy</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16</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22</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24</w:t>
            </w:r>
          </w:p>
        </w:tc>
      </w:tr>
      <w:tr w:rsidR="00175B90" w:rsidTr="00840B1E">
        <w:trPr>
          <w:trHeight w:val="300"/>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175B90" w:rsidRDefault="00175B90" w:rsidP="00840B1E">
            <w:pPr>
              <w:rPr>
                <w:rFonts w:ascii="Calibri" w:hAnsi="Calibri" w:cs="Calibri"/>
                <w:b/>
                <w:bCs/>
                <w:color w:val="000000"/>
              </w:rPr>
            </w:pPr>
            <w:r>
              <w:rPr>
                <w:rFonts w:ascii="Calibri" w:hAnsi="Calibri" w:cs="Calibri"/>
                <w:b/>
                <w:bCs/>
                <w:color w:val="000000"/>
              </w:rPr>
              <w:t>Fairly healthy</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79</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70</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77</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71</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71</w:t>
            </w:r>
          </w:p>
        </w:tc>
      </w:tr>
      <w:tr w:rsidR="00175B90" w:rsidTr="00840B1E">
        <w:trPr>
          <w:trHeight w:val="300"/>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175B90" w:rsidRDefault="00175B90" w:rsidP="00840B1E">
            <w:pPr>
              <w:rPr>
                <w:rFonts w:ascii="Calibri" w:hAnsi="Calibri" w:cs="Calibri"/>
                <w:b/>
                <w:bCs/>
                <w:color w:val="000000"/>
              </w:rPr>
            </w:pPr>
            <w:r>
              <w:rPr>
                <w:rFonts w:ascii="Calibri" w:hAnsi="Calibri" w:cs="Calibri"/>
                <w:b/>
                <w:bCs/>
                <w:color w:val="000000"/>
              </w:rPr>
              <w:t>Unhealthy</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175B90" w:rsidRDefault="00175B90">
            <w:pPr>
              <w:jc w:val="right"/>
              <w:rPr>
                <w:rFonts w:ascii="Calibri" w:hAnsi="Calibri" w:cs="Calibri"/>
                <w:color w:val="000000"/>
                <w:sz w:val="22"/>
                <w:szCs w:val="22"/>
              </w:rPr>
            </w:pPr>
            <w:r>
              <w:rPr>
                <w:rFonts w:ascii="Calibri" w:hAnsi="Calibri" w:cs="Calibri"/>
                <w:color w:val="000000"/>
                <w:sz w:val="22"/>
                <w:szCs w:val="22"/>
              </w:rPr>
              <w:t>5</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14</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10</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8</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13</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11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7</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175B90" w:rsidRDefault="00175B90">
            <w:pPr>
              <w:jc w:val="right"/>
              <w:rPr>
                <w:rFonts w:ascii="Calibri" w:hAnsi="Calibri" w:cs="Calibri"/>
                <w:color w:val="000000"/>
                <w:sz w:val="22"/>
                <w:szCs w:val="22"/>
              </w:rPr>
            </w:pPr>
            <w:r>
              <w:rPr>
                <w:rFonts w:ascii="Calibri" w:hAnsi="Calibri" w:cs="Calibri"/>
                <w:color w:val="000000"/>
                <w:sz w:val="22"/>
                <w:szCs w:val="22"/>
              </w:rPr>
              <w:t>6</w:t>
            </w:r>
          </w:p>
        </w:tc>
      </w:tr>
    </w:tbl>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F3746F" w:rsidRDefault="00F3746F" w:rsidP="00175B90">
      <w:pPr>
        <w:tabs>
          <w:tab w:val="center" w:pos="4075"/>
        </w:tabs>
        <w:autoSpaceDE w:val="0"/>
        <w:autoSpaceDN w:val="0"/>
        <w:adjustRightInd w:val="0"/>
        <w:rPr>
          <w:rFonts w:asciiTheme="minorHAnsi" w:hAnsiTheme="minorHAnsi" w:cstheme="minorHAnsi"/>
          <w:b/>
          <w:sz w:val="22"/>
          <w:szCs w:val="22"/>
        </w:rPr>
      </w:pPr>
    </w:p>
    <w:p w:rsidR="00F3746F" w:rsidRDefault="00F3746F"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175B90" w:rsidRDefault="00175B90" w:rsidP="00175B90">
      <w:pPr>
        <w:tabs>
          <w:tab w:val="center" w:pos="4075"/>
        </w:tabs>
        <w:autoSpaceDE w:val="0"/>
        <w:autoSpaceDN w:val="0"/>
        <w:adjustRightInd w:val="0"/>
        <w:rPr>
          <w:rFonts w:asciiTheme="minorHAnsi" w:hAnsiTheme="minorHAnsi" w:cstheme="minorHAnsi"/>
          <w:b/>
          <w:sz w:val="22"/>
          <w:szCs w:val="22"/>
        </w:rPr>
      </w:pPr>
    </w:p>
    <w:p w:rsidR="008E184F" w:rsidRDefault="008E184F" w:rsidP="008E184F">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Ways to make own life healthier – All Respondents</w:t>
      </w:r>
    </w:p>
    <w:tbl>
      <w:tblPr>
        <w:tblW w:w="14955" w:type="dxa"/>
        <w:tblLook w:val="04A0" w:firstRow="1" w:lastRow="0" w:firstColumn="1" w:lastColumn="0" w:noHBand="0" w:noVBand="1"/>
      </w:tblPr>
      <w:tblGrid>
        <w:gridCol w:w="1644"/>
        <w:gridCol w:w="713"/>
        <w:gridCol w:w="538"/>
        <w:gridCol w:w="718"/>
        <w:gridCol w:w="630"/>
        <w:gridCol w:w="553"/>
        <w:gridCol w:w="8"/>
        <w:gridCol w:w="680"/>
        <w:gridCol w:w="881"/>
        <w:gridCol w:w="739"/>
        <w:gridCol w:w="880"/>
        <w:gridCol w:w="825"/>
        <w:gridCol w:w="871"/>
        <w:gridCol w:w="440"/>
        <w:gridCol w:w="440"/>
        <w:gridCol w:w="440"/>
        <w:gridCol w:w="871"/>
        <w:gridCol w:w="440"/>
        <w:gridCol w:w="440"/>
        <w:gridCol w:w="440"/>
        <w:gridCol w:w="440"/>
        <w:gridCol w:w="440"/>
        <w:gridCol w:w="440"/>
        <w:gridCol w:w="444"/>
      </w:tblGrid>
      <w:tr w:rsidR="008E184F" w:rsidRPr="00EB5B0E" w:rsidTr="0024600E">
        <w:trPr>
          <w:trHeight w:val="227"/>
        </w:trPr>
        <w:tc>
          <w:tcPr>
            <w:tcW w:w="164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8E184F" w:rsidRPr="00BE1A84" w:rsidRDefault="008E184F" w:rsidP="00840B1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953661" w:rsidRDefault="008E184F" w:rsidP="00840B1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EB5B0E" w:rsidRDefault="008E184F" w:rsidP="00840B1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697C7E" w:rsidRDefault="008E184F" w:rsidP="00840B1E">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EB5B0E" w:rsidRDefault="008E184F" w:rsidP="00840B1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EB5B0E" w:rsidRDefault="008E184F" w:rsidP="00840B1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8E184F" w:rsidRPr="00EB5B0E" w:rsidRDefault="008E184F" w:rsidP="00840B1E">
            <w:pPr>
              <w:jc w:val="center"/>
              <w:rPr>
                <w:rFonts w:ascii="Calibri" w:hAnsi="Calibri" w:cs="Calibri"/>
                <w:b/>
                <w:bCs/>
                <w:color w:val="000000"/>
                <w:lang w:eastAsia="en-GB"/>
              </w:rPr>
            </w:pPr>
            <w:r>
              <w:rPr>
                <w:rFonts w:ascii="Calibri" w:hAnsi="Calibri" w:cs="Calibri"/>
                <w:b/>
                <w:bCs/>
                <w:color w:val="000000"/>
                <w:lang w:eastAsia="en-GB"/>
              </w:rPr>
              <w:t>Age</w:t>
            </w:r>
          </w:p>
        </w:tc>
      </w:tr>
      <w:tr w:rsidR="008E184F" w:rsidRPr="00462493" w:rsidTr="0024600E">
        <w:trPr>
          <w:trHeight w:val="540"/>
        </w:trPr>
        <w:tc>
          <w:tcPr>
            <w:tcW w:w="164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E184F" w:rsidRPr="00462493" w:rsidRDefault="008E184F" w:rsidP="00840B1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E184F" w:rsidRPr="00462493" w:rsidRDefault="008E184F" w:rsidP="00840B1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953F3">
            <w:pPr>
              <w:rPr>
                <w:rFonts w:ascii="Calibri" w:hAnsi="Calibri" w:cs="Calibri"/>
                <w:b/>
                <w:bCs/>
                <w:color w:val="000000"/>
              </w:rPr>
            </w:pPr>
            <w:r>
              <w:rPr>
                <w:rFonts w:ascii="Calibri" w:hAnsi="Calibri" w:cs="Calibri"/>
                <w:b/>
                <w:bCs/>
                <w:color w:val="000000"/>
              </w:rPr>
              <w:t>1</w:t>
            </w:r>
            <w:r w:rsidR="008953F3">
              <w:rPr>
                <w:rFonts w:ascii="Calibri" w:hAnsi="Calibri" w:cs="Calibri"/>
                <w:b/>
                <w:bCs/>
                <w:color w:val="000000"/>
              </w:rPr>
              <w:t>6</w:t>
            </w:r>
            <w:r>
              <w:rPr>
                <w:rFonts w:ascii="Calibri" w:hAnsi="Calibri" w:cs="Calibri"/>
                <w:b/>
                <w:bCs/>
                <w:color w:val="000000"/>
              </w:rPr>
              <w:t>-24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8E184F" w:rsidRDefault="008E184F" w:rsidP="00840B1E">
            <w:pPr>
              <w:rPr>
                <w:rFonts w:ascii="Calibri" w:hAnsi="Calibri" w:cs="Calibri"/>
                <w:b/>
                <w:bCs/>
                <w:color w:val="000000"/>
              </w:rPr>
            </w:pPr>
            <w:r>
              <w:rPr>
                <w:rFonts w:ascii="Calibri" w:hAnsi="Calibri" w:cs="Calibri"/>
                <w:b/>
                <w:bCs/>
                <w:color w:val="000000"/>
              </w:rPr>
              <w:t>75+</w:t>
            </w:r>
          </w:p>
        </w:tc>
      </w:tr>
      <w:tr w:rsidR="00F63EC5" w:rsidTr="0024600E">
        <w:trPr>
          <w:trHeight w:val="300"/>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F63EC5" w:rsidRPr="00067C88" w:rsidRDefault="00F63EC5" w:rsidP="00067C88">
            <w:pPr>
              <w:rPr>
                <w:rFonts w:ascii="Calibri" w:hAnsi="Calibri" w:cs="Calibri"/>
                <w:b/>
                <w:bCs/>
                <w:color w:val="000000"/>
              </w:rPr>
            </w:pPr>
            <w:r>
              <w:rPr>
                <w:rFonts w:ascii="Calibri" w:hAnsi="Calibri" w:cs="Calibri"/>
                <w:b/>
                <w:bCs/>
                <w:color w:val="000000"/>
              </w:rPr>
              <w:t>Do you feel there is anything you can do to make your own life healthier?</w:t>
            </w:r>
            <w:r>
              <w:rPr>
                <w:rFonts w:ascii="Calibri" w:hAnsi="Calibri" w:cs="Calibri"/>
                <w:color w:val="000000"/>
                <w:sz w:val="22"/>
                <w:szCs w:val="22"/>
              </w:rPr>
              <w:t> </w:t>
            </w:r>
          </w:p>
        </w:tc>
      </w:tr>
      <w:tr w:rsidR="00067C88" w:rsidTr="0024600E">
        <w:trPr>
          <w:trHeight w:val="300"/>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67C88" w:rsidRDefault="00067C88" w:rsidP="00977928">
            <w:pPr>
              <w:jc w:val="left"/>
              <w:rPr>
                <w:rFonts w:ascii="Calibri" w:hAnsi="Calibri" w:cs="Calibri"/>
                <w:b/>
                <w:bCs/>
                <w:color w:val="000000"/>
              </w:rPr>
            </w:pPr>
            <w:r>
              <w:rPr>
                <w:rFonts w:ascii="Calibri" w:hAnsi="Calibri" w:cs="Calibri"/>
                <w:b/>
                <w:bCs/>
                <w:color w:val="000000"/>
              </w:rPr>
              <w:t>Yes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72</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67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68</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51</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r>
      <w:tr w:rsidR="00067C88" w:rsidTr="0024600E">
        <w:trPr>
          <w:trHeight w:val="300"/>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067C88" w:rsidRDefault="00067C88" w:rsidP="00977928">
            <w:pPr>
              <w:jc w:val="left"/>
              <w:rPr>
                <w:rFonts w:ascii="Calibri" w:hAnsi="Calibri" w:cs="Calibri"/>
                <w:b/>
                <w:bCs/>
                <w:color w:val="000000"/>
              </w:rPr>
            </w:pPr>
            <w:r>
              <w:rPr>
                <w:rFonts w:ascii="Calibri" w:hAnsi="Calibri" w:cs="Calibri"/>
                <w:b/>
                <w:bCs/>
                <w:color w:val="000000"/>
              </w:rPr>
              <w:t>No</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28</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32</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067C88" w:rsidRDefault="00067C88">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49</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067C88" w:rsidRDefault="00067C88">
            <w:pPr>
              <w:jc w:val="right"/>
              <w:rPr>
                <w:rFonts w:ascii="Calibri" w:hAnsi="Calibri" w:cs="Calibri"/>
                <w:color w:val="000000"/>
                <w:sz w:val="22"/>
                <w:szCs w:val="22"/>
              </w:rPr>
            </w:pPr>
            <w:r>
              <w:rPr>
                <w:rFonts w:ascii="Calibri" w:hAnsi="Calibri" w:cs="Calibri"/>
                <w:color w:val="000000"/>
                <w:sz w:val="22"/>
                <w:szCs w:val="22"/>
              </w:rPr>
              <w:t>73</w:t>
            </w:r>
          </w:p>
        </w:tc>
      </w:tr>
      <w:tr w:rsidR="00F63EC5" w:rsidTr="0024600E">
        <w:trPr>
          <w:trHeight w:val="300"/>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F63EC5" w:rsidRDefault="00F63EC5" w:rsidP="00977928">
            <w:pPr>
              <w:jc w:val="left"/>
              <w:rPr>
                <w:rFonts w:ascii="Calibri" w:hAnsi="Calibri" w:cs="Calibri"/>
                <w:color w:val="000000"/>
                <w:sz w:val="22"/>
                <w:szCs w:val="22"/>
              </w:rPr>
            </w:pPr>
            <w:r>
              <w:rPr>
                <w:rFonts w:ascii="Calibri" w:hAnsi="Calibri" w:cs="Calibri"/>
                <w:b/>
                <w:bCs/>
                <w:color w:val="000000"/>
              </w:rPr>
              <w:t>Of those who believed that they could make their own life healthier – Changes they believed they could make</w:t>
            </w:r>
          </w:p>
        </w:tc>
      </w:tr>
      <w:tr w:rsidR="00775FE4" w:rsidTr="0024600E">
        <w:trPr>
          <w:trHeight w:val="300"/>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Cut down smoking</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Stop smoking</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15</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10</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 xml:space="preserve">Cut down </w:t>
            </w:r>
            <w:r w:rsidR="00840B1E">
              <w:rPr>
                <w:rFonts w:ascii="Calibri" w:hAnsi="Calibri" w:cs="Calibri"/>
                <w:b/>
                <w:bCs/>
                <w:color w:val="000000"/>
              </w:rPr>
              <w:t>drinking</w:t>
            </w:r>
            <w:r>
              <w:rPr>
                <w:rFonts w:ascii="Calibri" w:hAnsi="Calibri" w:cs="Calibri"/>
                <w:b/>
                <w:bCs/>
                <w:color w:val="000000"/>
              </w:rPr>
              <w:t xml:space="preserve"> alcohol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9</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Stop drinking alcohol</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Be more physically active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47</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44</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Control weight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43</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27</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Eat more healthily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49</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r>
      <w:tr w:rsidR="00775FE4" w:rsidTr="0024600E">
        <w:trPr>
          <w:trHeight w:val="300"/>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Reduce the amount of stress in my life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30</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21</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r>
      <w:tr w:rsidR="00F63EC5" w:rsidTr="0024600E">
        <w:trPr>
          <w:trHeight w:val="300"/>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F63EC5" w:rsidRDefault="00F63EC5" w:rsidP="00977928">
            <w:pPr>
              <w:jc w:val="left"/>
              <w:rPr>
                <w:rFonts w:ascii="Calibri" w:hAnsi="Calibri" w:cs="Calibri"/>
                <w:color w:val="000000"/>
                <w:sz w:val="22"/>
                <w:szCs w:val="22"/>
              </w:rPr>
            </w:pPr>
            <w:r>
              <w:rPr>
                <w:rFonts w:ascii="Calibri" w:hAnsi="Calibri" w:cs="Calibri"/>
                <w:b/>
                <w:bCs/>
                <w:color w:val="000000"/>
              </w:rPr>
              <w:t>Of those who believed that they could not make their own life healthier – Reasons given</w:t>
            </w:r>
          </w:p>
        </w:tc>
      </w:tr>
      <w:tr w:rsidR="00775FE4" w:rsidTr="0024600E">
        <w:trPr>
          <w:trHeight w:val="300"/>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I already lead a healthy life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70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67</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51</w:t>
            </w:r>
          </w:p>
        </w:tc>
      </w:tr>
      <w:tr w:rsidR="00775FE4" w:rsidTr="0024600E">
        <w:trPr>
          <w:trHeight w:val="300"/>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I don't want to make any changes to my life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23</w:t>
            </w:r>
          </w:p>
        </w:tc>
      </w:tr>
      <w:tr w:rsidR="00775FE4" w:rsidTr="0024600E">
        <w:trPr>
          <w:trHeight w:val="300"/>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75FE4" w:rsidRDefault="00775FE4" w:rsidP="00977928">
            <w:pPr>
              <w:jc w:val="left"/>
              <w:rPr>
                <w:rFonts w:ascii="Calibri" w:hAnsi="Calibri" w:cs="Calibri"/>
                <w:b/>
                <w:bCs/>
                <w:color w:val="000000"/>
              </w:rPr>
            </w:pPr>
            <w:r>
              <w:rPr>
                <w:rFonts w:ascii="Calibri" w:hAnsi="Calibri" w:cs="Calibri"/>
                <w:b/>
                <w:bCs/>
                <w:color w:val="000000"/>
              </w:rPr>
              <w:t>It's too difficult for me to do anything to make my life healthier</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11</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16</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75FE4" w:rsidRDefault="00775FE4">
            <w:pPr>
              <w:jc w:val="right"/>
              <w:rPr>
                <w:rFonts w:ascii="Calibri" w:hAnsi="Calibri" w:cs="Calibri"/>
                <w:color w:val="000000"/>
                <w:sz w:val="22"/>
                <w:szCs w:val="22"/>
              </w:rPr>
            </w:pPr>
            <w:r>
              <w:rPr>
                <w:rFonts w:ascii="Calibri" w:hAnsi="Calibri" w:cs="Calibri"/>
                <w:color w:val="000000"/>
                <w:sz w:val="22"/>
                <w:szCs w:val="22"/>
              </w:rPr>
              <w:t>26</w:t>
            </w:r>
          </w:p>
        </w:tc>
      </w:tr>
    </w:tbl>
    <w:p w:rsidR="00093078" w:rsidRDefault="00093078" w:rsidP="00597CCA">
      <w:pPr>
        <w:tabs>
          <w:tab w:val="center" w:pos="4075"/>
        </w:tabs>
        <w:autoSpaceDE w:val="0"/>
        <w:autoSpaceDN w:val="0"/>
        <w:adjustRightInd w:val="0"/>
        <w:rPr>
          <w:rFonts w:asciiTheme="minorHAnsi" w:hAnsiTheme="minorHAnsi" w:cstheme="minorHAnsi"/>
          <w:b/>
          <w:sz w:val="22"/>
          <w:szCs w:val="22"/>
        </w:rPr>
      </w:pPr>
    </w:p>
    <w:p w:rsidR="00093078" w:rsidRDefault="00093078" w:rsidP="00597CCA">
      <w:pPr>
        <w:tabs>
          <w:tab w:val="center" w:pos="4075"/>
        </w:tabs>
        <w:autoSpaceDE w:val="0"/>
        <w:autoSpaceDN w:val="0"/>
        <w:adjustRightInd w:val="0"/>
        <w:rPr>
          <w:rFonts w:asciiTheme="minorHAnsi" w:hAnsiTheme="minorHAnsi" w:cstheme="minorHAnsi"/>
          <w:b/>
          <w:sz w:val="22"/>
          <w:szCs w:val="22"/>
        </w:rPr>
      </w:pPr>
    </w:p>
    <w:p w:rsidR="00093078" w:rsidRDefault="00093078" w:rsidP="00597CCA">
      <w:pPr>
        <w:tabs>
          <w:tab w:val="center" w:pos="4075"/>
        </w:tabs>
        <w:autoSpaceDE w:val="0"/>
        <w:autoSpaceDN w:val="0"/>
        <w:adjustRightInd w:val="0"/>
        <w:rPr>
          <w:rFonts w:asciiTheme="minorHAnsi" w:hAnsiTheme="minorHAnsi" w:cstheme="minorHAnsi"/>
          <w:b/>
          <w:sz w:val="22"/>
          <w:szCs w:val="22"/>
        </w:rPr>
      </w:pPr>
    </w:p>
    <w:p w:rsidR="00F63EC5" w:rsidRDefault="00F63EC5" w:rsidP="00597CCA">
      <w:pPr>
        <w:tabs>
          <w:tab w:val="center" w:pos="4075"/>
        </w:tabs>
        <w:autoSpaceDE w:val="0"/>
        <w:autoSpaceDN w:val="0"/>
        <w:adjustRightInd w:val="0"/>
        <w:rPr>
          <w:rFonts w:asciiTheme="minorHAnsi" w:hAnsiTheme="minorHAnsi" w:cstheme="minorHAnsi"/>
          <w:b/>
          <w:sz w:val="22"/>
          <w:szCs w:val="22"/>
        </w:rPr>
      </w:pPr>
    </w:p>
    <w:p w:rsidR="004C43A6" w:rsidRPr="00AC756F" w:rsidRDefault="004C43A6" w:rsidP="00AC756F">
      <w:pPr>
        <w:pStyle w:val="Heading3"/>
        <w:spacing w:before="0"/>
        <w:rPr>
          <w:rFonts w:asciiTheme="minorHAnsi" w:hAnsiTheme="minorHAnsi" w:cstheme="minorHAnsi"/>
          <w:color w:val="auto"/>
          <w:sz w:val="22"/>
          <w:szCs w:val="22"/>
        </w:rPr>
      </w:pPr>
      <w:bookmarkStart w:id="75" w:name="_Ref381946671"/>
      <w:r w:rsidRPr="00AC756F">
        <w:rPr>
          <w:rFonts w:asciiTheme="minorHAnsi" w:hAnsiTheme="minorHAnsi" w:cstheme="minorHAnsi"/>
          <w:color w:val="auto"/>
          <w:sz w:val="22"/>
          <w:szCs w:val="22"/>
        </w:rPr>
        <w:t>Smoking Prevalence – All Respondents</w:t>
      </w:r>
      <w:bookmarkEnd w:id="75"/>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RPr="00462493" w:rsidTr="00AB341A">
        <w:trPr>
          <w:trHeight w:val="283"/>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Current smoker</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r>
      <w:tr w:rsidR="004C43A6" w:rsidRPr="00462493" w:rsidTr="00AB341A">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Used to smoke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r>
      <w:tr w:rsidR="004C43A6" w:rsidRPr="00462493" w:rsidTr="00AB341A">
        <w:trPr>
          <w:trHeight w:val="283"/>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2C2D20" w:rsidRDefault="004C43A6" w:rsidP="004F1DAE">
            <w:pPr>
              <w:rPr>
                <w:rFonts w:ascii="Calibri" w:hAnsi="Calibri" w:cs="Calibri"/>
                <w:b/>
                <w:color w:val="000000"/>
              </w:rPr>
            </w:pPr>
            <w:r>
              <w:rPr>
                <w:rFonts w:ascii="Calibri" w:hAnsi="Calibri" w:cs="Calibri"/>
                <w:b/>
                <w:color w:val="000000"/>
              </w:rPr>
              <w:t>Never smoked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43</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57</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r>
    </w:tbl>
    <w:p w:rsidR="004C43A6" w:rsidRPr="00F642CF" w:rsidRDefault="004C43A6" w:rsidP="004C43A6">
      <w:pPr>
        <w:tabs>
          <w:tab w:val="center" w:pos="4075"/>
        </w:tabs>
        <w:autoSpaceDE w:val="0"/>
        <w:autoSpaceDN w:val="0"/>
        <w:adjustRightInd w:val="0"/>
        <w:rPr>
          <w:rFonts w:asciiTheme="minorHAnsi" w:hAnsiTheme="minorHAnsi" w:cstheme="minorHAnsi"/>
          <w:b/>
          <w:sz w:val="8"/>
          <w:szCs w:val="8"/>
        </w:rPr>
      </w:pPr>
    </w:p>
    <w:p w:rsidR="004C43A6" w:rsidRDefault="004C43A6" w:rsidP="00AB341A">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Smoking Prevalence – 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C43A6" w:rsidRPr="00EB5B0E" w:rsidTr="004F1DA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Pr>
                <w:rFonts w:ascii="Calibri" w:hAnsi="Calibri" w:cs="Calibri"/>
                <w:b/>
                <w:bCs/>
                <w:color w:val="000000"/>
                <w:lang w:eastAsia="en-GB"/>
              </w:rPr>
              <w:t>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RPr="00462493" w:rsidTr="004F1DA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RPr="00462493" w:rsidTr="00AB341A">
        <w:trPr>
          <w:trHeight w:val="283"/>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Current smoker</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r>
      <w:tr w:rsidR="004C43A6" w:rsidRPr="00462493" w:rsidTr="00AB341A">
        <w:trPr>
          <w:trHeight w:val="283"/>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Used to smoke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47</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57</w:t>
            </w:r>
          </w:p>
        </w:tc>
      </w:tr>
      <w:tr w:rsidR="004C43A6" w:rsidRPr="00462493" w:rsidTr="00AB341A">
        <w:trPr>
          <w:trHeight w:val="283"/>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2C2D20" w:rsidRDefault="004C43A6" w:rsidP="004F1DAE">
            <w:pPr>
              <w:rPr>
                <w:rFonts w:ascii="Calibri" w:hAnsi="Calibri" w:cs="Calibri"/>
                <w:b/>
                <w:color w:val="000000"/>
              </w:rPr>
            </w:pPr>
            <w:r>
              <w:rPr>
                <w:rFonts w:ascii="Calibri" w:hAnsi="Calibri" w:cs="Calibri"/>
                <w:b/>
                <w:color w:val="000000"/>
              </w:rPr>
              <w:t>Never smoked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r>
    </w:tbl>
    <w:p w:rsidR="004C43A6" w:rsidRPr="00F642CF" w:rsidRDefault="004C43A6" w:rsidP="004C43A6">
      <w:pPr>
        <w:tabs>
          <w:tab w:val="center" w:pos="4075"/>
        </w:tabs>
        <w:autoSpaceDE w:val="0"/>
        <w:autoSpaceDN w:val="0"/>
        <w:adjustRightInd w:val="0"/>
        <w:rPr>
          <w:rFonts w:asciiTheme="minorHAnsi" w:hAnsiTheme="minorHAnsi" w:cstheme="minorHAnsi"/>
          <w:b/>
          <w:sz w:val="8"/>
          <w:szCs w:val="8"/>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Smoking Prevalence – Females</w:t>
      </w:r>
    </w:p>
    <w:tbl>
      <w:tblPr>
        <w:tblW w:w="13909" w:type="dxa"/>
        <w:tblInd w:w="93" w:type="dxa"/>
        <w:tblLook w:val="04A0" w:firstRow="1" w:lastRow="0" w:firstColumn="1" w:lastColumn="0" w:noHBand="0" w:noVBand="1"/>
      </w:tblPr>
      <w:tblGrid>
        <w:gridCol w:w="2391"/>
        <w:gridCol w:w="669"/>
        <w:gridCol w:w="596"/>
        <w:gridCol w:w="688"/>
        <w:gridCol w:w="881"/>
        <w:gridCol w:w="739"/>
        <w:gridCol w:w="880"/>
        <w:gridCol w:w="825"/>
        <w:gridCol w:w="871"/>
        <w:gridCol w:w="440"/>
        <w:gridCol w:w="440"/>
        <w:gridCol w:w="440"/>
        <w:gridCol w:w="871"/>
        <w:gridCol w:w="452"/>
        <w:gridCol w:w="453"/>
        <w:gridCol w:w="454"/>
        <w:gridCol w:w="454"/>
        <w:gridCol w:w="454"/>
        <w:gridCol w:w="454"/>
        <w:gridCol w:w="457"/>
      </w:tblGrid>
      <w:tr w:rsidR="004C43A6" w:rsidRPr="00EB5B0E" w:rsidTr="004F1DAE">
        <w:trPr>
          <w:trHeight w:val="227"/>
        </w:trPr>
        <w:tc>
          <w:tcPr>
            <w:tcW w:w="239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Pr>
                <w:rFonts w:ascii="Calibri" w:hAnsi="Calibri" w:cs="Calibri"/>
                <w:b/>
                <w:bCs/>
                <w:color w:val="000000"/>
                <w:lang w:eastAsia="en-GB"/>
              </w:rPr>
              <w:t>Female</w:t>
            </w:r>
          </w:p>
        </w:tc>
        <w:tc>
          <w:tcPr>
            <w:tcW w:w="126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01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1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4F1DAE">
        <w:trPr>
          <w:trHeight w:val="540"/>
        </w:trPr>
        <w:tc>
          <w:tcPr>
            <w:tcW w:w="239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669"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96"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52"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16-24</w:t>
            </w:r>
          </w:p>
        </w:tc>
        <w:tc>
          <w:tcPr>
            <w:tcW w:w="453"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54"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57"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Tr="00AB341A">
        <w:trPr>
          <w:trHeight w:val="283"/>
        </w:trPr>
        <w:tc>
          <w:tcPr>
            <w:tcW w:w="239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Current smoker</w:t>
            </w:r>
          </w:p>
        </w:tc>
        <w:tc>
          <w:tcPr>
            <w:tcW w:w="669"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59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52"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45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5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5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r>
      <w:tr w:rsidR="004C43A6" w:rsidTr="00AB341A">
        <w:trPr>
          <w:trHeight w:val="283"/>
        </w:trPr>
        <w:tc>
          <w:tcPr>
            <w:tcW w:w="239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2C2D20" w:rsidRDefault="004C43A6" w:rsidP="004F1DAE">
            <w:pPr>
              <w:rPr>
                <w:rFonts w:ascii="Calibri" w:hAnsi="Calibri" w:cs="Calibri"/>
                <w:b/>
                <w:color w:val="000000"/>
              </w:rPr>
            </w:pPr>
            <w:r>
              <w:rPr>
                <w:rFonts w:ascii="Calibri" w:hAnsi="Calibri" w:cs="Calibri"/>
                <w:b/>
                <w:color w:val="000000"/>
              </w:rPr>
              <w:t>Used to smoke</w:t>
            </w:r>
          </w:p>
        </w:tc>
        <w:tc>
          <w:tcPr>
            <w:tcW w:w="669"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596"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2"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5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45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57"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r>
      <w:tr w:rsidR="004C43A6" w:rsidTr="00AB341A">
        <w:trPr>
          <w:trHeight w:val="283"/>
        </w:trPr>
        <w:tc>
          <w:tcPr>
            <w:tcW w:w="239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2C2D20" w:rsidRDefault="004C43A6" w:rsidP="004F1DAE">
            <w:pPr>
              <w:rPr>
                <w:rFonts w:ascii="Calibri" w:hAnsi="Calibri" w:cs="Calibri"/>
                <w:b/>
                <w:color w:val="000000"/>
              </w:rPr>
            </w:pPr>
            <w:r>
              <w:rPr>
                <w:rFonts w:ascii="Calibri" w:hAnsi="Calibri" w:cs="Calibri"/>
                <w:b/>
                <w:color w:val="000000"/>
              </w:rPr>
              <w:t>Never smoked</w:t>
            </w:r>
          </w:p>
        </w:tc>
        <w:tc>
          <w:tcPr>
            <w:tcW w:w="669"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596"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63</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62</w:t>
            </w:r>
          </w:p>
        </w:tc>
        <w:tc>
          <w:tcPr>
            <w:tcW w:w="452"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c>
          <w:tcPr>
            <w:tcW w:w="453"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54"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59</w:t>
            </w:r>
          </w:p>
        </w:tc>
        <w:tc>
          <w:tcPr>
            <w:tcW w:w="457"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63</w:t>
            </w:r>
          </w:p>
        </w:tc>
      </w:tr>
    </w:tbl>
    <w:p w:rsidR="004C43A6" w:rsidRDefault="004C43A6" w:rsidP="00AB341A">
      <w:pPr>
        <w:tabs>
          <w:tab w:val="center" w:pos="4075"/>
        </w:tabs>
        <w:autoSpaceDE w:val="0"/>
        <w:autoSpaceDN w:val="0"/>
        <w:adjustRightInd w:val="0"/>
        <w:spacing w:before="100"/>
        <w:rPr>
          <w:rFonts w:asciiTheme="minorHAnsi" w:hAnsiTheme="minorHAnsi" w:cstheme="minorHAnsi"/>
          <w:b/>
          <w:sz w:val="22"/>
          <w:szCs w:val="22"/>
        </w:rPr>
      </w:pPr>
      <w:r>
        <w:rPr>
          <w:rFonts w:asciiTheme="minorHAnsi" w:hAnsiTheme="minorHAnsi" w:cstheme="minorHAnsi"/>
          <w:b/>
          <w:sz w:val="22"/>
          <w:szCs w:val="22"/>
        </w:rPr>
        <w:t>Type of cigarettes smoked  – All Smokers</w:t>
      </w:r>
    </w:p>
    <w:tbl>
      <w:tblPr>
        <w:tblW w:w="13948" w:type="dxa"/>
        <w:tblInd w:w="93" w:type="dxa"/>
        <w:tblLayout w:type="fixed"/>
        <w:tblLook w:val="04A0" w:firstRow="1" w:lastRow="0" w:firstColumn="1" w:lastColumn="0" w:noHBand="0" w:noVBand="1"/>
      </w:tblPr>
      <w:tblGrid>
        <w:gridCol w:w="2608"/>
        <w:gridCol w:w="816"/>
        <w:gridCol w:w="640"/>
        <w:gridCol w:w="820"/>
        <w:gridCol w:w="732"/>
        <w:gridCol w:w="655"/>
        <w:gridCol w:w="737"/>
        <w:gridCol w:w="964"/>
        <w:gridCol w:w="794"/>
        <w:gridCol w:w="964"/>
        <w:gridCol w:w="907"/>
        <w:gridCol w:w="973"/>
        <w:gridCol w:w="455"/>
        <w:gridCol w:w="455"/>
        <w:gridCol w:w="455"/>
        <w:gridCol w:w="973"/>
      </w:tblGrid>
      <w:tr w:rsidR="004C43A6" w:rsidRPr="00EB5B0E" w:rsidTr="004F1DAE">
        <w:trPr>
          <w:trHeight w:val="227"/>
        </w:trPr>
        <w:tc>
          <w:tcPr>
            <w:tcW w:w="2608"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 xml:space="preserve">All </w:t>
            </w:r>
            <w:r>
              <w:rPr>
                <w:rFonts w:ascii="Calibri" w:hAnsi="Calibri" w:cs="Calibri"/>
                <w:b/>
                <w:bCs/>
                <w:color w:val="000000"/>
                <w:lang w:eastAsia="en-GB"/>
              </w:rPr>
              <w:t>Smoker</w:t>
            </w:r>
            <w:r w:rsidRPr="00BE1A84">
              <w:rPr>
                <w:rFonts w:ascii="Calibri" w:hAnsi="Calibri" w:cs="Calibri"/>
                <w:b/>
                <w:bCs/>
                <w:color w:val="000000"/>
                <w:lang w:eastAsia="en-GB"/>
              </w:rPr>
              <w:t>s</w:t>
            </w:r>
          </w:p>
        </w:tc>
        <w:tc>
          <w:tcPr>
            <w:tcW w:w="816"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366"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608"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6"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37"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64"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94"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64"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07"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RPr="00462493" w:rsidTr="00AB341A">
        <w:trPr>
          <w:trHeight w:val="283"/>
        </w:trPr>
        <w:tc>
          <w:tcPr>
            <w:tcW w:w="260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AB341A" w:rsidRDefault="004C43A6" w:rsidP="004F1DAE">
            <w:pPr>
              <w:rPr>
                <w:rFonts w:ascii="Calibri" w:hAnsi="Calibri" w:cs="Calibri"/>
                <w:b/>
                <w:bCs/>
                <w:color w:val="000000"/>
              </w:rPr>
            </w:pPr>
            <w:r w:rsidRPr="00AB341A">
              <w:rPr>
                <w:rFonts w:ascii="Calibri" w:hAnsi="Calibri" w:cs="Calibri"/>
                <w:b/>
                <w:bCs/>
                <w:color w:val="000000"/>
              </w:rPr>
              <w:t xml:space="preserve">Filter-tipped </w:t>
            </w:r>
          </w:p>
        </w:tc>
        <w:tc>
          <w:tcPr>
            <w:tcW w:w="81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79</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85</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81</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76</w:t>
            </w:r>
          </w:p>
        </w:tc>
        <w:tc>
          <w:tcPr>
            <w:tcW w:w="737"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82</w:t>
            </w:r>
          </w:p>
        </w:tc>
        <w:tc>
          <w:tcPr>
            <w:tcW w:w="964"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76</w:t>
            </w:r>
          </w:p>
        </w:tc>
        <w:tc>
          <w:tcPr>
            <w:tcW w:w="794"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80</w:t>
            </w:r>
          </w:p>
        </w:tc>
        <w:tc>
          <w:tcPr>
            <w:tcW w:w="964"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81</w:t>
            </w:r>
          </w:p>
        </w:tc>
        <w:tc>
          <w:tcPr>
            <w:tcW w:w="90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79</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81</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90</w:t>
            </w:r>
          </w:p>
        </w:tc>
      </w:tr>
      <w:tr w:rsidR="004C43A6" w:rsidRPr="00462493" w:rsidTr="00AB341A">
        <w:trPr>
          <w:trHeight w:val="283"/>
        </w:trPr>
        <w:tc>
          <w:tcPr>
            <w:tcW w:w="2608"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AB341A" w:rsidRDefault="004C43A6" w:rsidP="004F1DAE">
            <w:pPr>
              <w:rPr>
                <w:rFonts w:ascii="Calibri" w:hAnsi="Calibri" w:cs="Calibri"/>
                <w:b/>
                <w:bCs/>
                <w:color w:val="000000"/>
              </w:rPr>
            </w:pPr>
            <w:r w:rsidRPr="00AB341A">
              <w:rPr>
                <w:rFonts w:ascii="Calibri" w:hAnsi="Calibri" w:cs="Calibri"/>
                <w:b/>
                <w:bCs/>
                <w:color w:val="000000"/>
              </w:rPr>
              <w:t xml:space="preserve">Plain/Untipped/Hand-rolled </w:t>
            </w:r>
          </w:p>
        </w:tc>
        <w:tc>
          <w:tcPr>
            <w:tcW w:w="816"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21</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28</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15</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19</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24</w:t>
            </w:r>
          </w:p>
        </w:tc>
        <w:tc>
          <w:tcPr>
            <w:tcW w:w="737"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18</w:t>
            </w:r>
          </w:p>
        </w:tc>
        <w:tc>
          <w:tcPr>
            <w:tcW w:w="964"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24</w:t>
            </w:r>
          </w:p>
        </w:tc>
        <w:tc>
          <w:tcPr>
            <w:tcW w:w="794"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20</w:t>
            </w:r>
          </w:p>
        </w:tc>
        <w:tc>
          <w:tcPr>
            <w:tcW w:w="964"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19</w:t>
            </w:r>
          </w:p>
        </w:tc>
        <w:tc>
          <w:tcPr>
            <w:tcW w:w="90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21</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19</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10</w:t>
            </w:r>
          </w:p>
        </w:tc>
      </w:tr>
    </w:tbl>
    <w:p w:rsidR="004C43A6" w:rsidRPr="004E2A30" w:rsidRDefault="004C43A6" w:rsidP="004C43A6">
      <w:pPr>
        <w:tabs>
          <w:tab w:val="center" w:pos="4075"/>
        </w:tabs>
        <w:autoSpaceDE w:val="0"/>
        <w:autoSpaceDN w:val="0"/>
        <w:adjustRightInd w:val="0"/>
        <w:rPr>
          <w:rFonts w:asciiTheme="minorHAnsi" w:hAnsiTheme="minorHAnsi" w:cstheme="minorHAnsi"/>
          <w:b/>
          <w:sz w:val="4"/>
          <w:szCs w:val="4"/>
        </w:rPr>
      </w:pPr>
    </w:p>
    <w:tbl>
      <w:tblPr>
        <w:tblW w:w="13947" w:type="dxa"/>
        <w:tblInd w:w="93" w:type="dxa"/>
        <w:tblLayout w:type="fixed"/>
        <w:tblLook w:val="04A0" w:firstRow="1" w:lastRow="0" w:firstColumn="1" w:lastColumn="0" w:noHBand="0" w:noVBand="1"/>
      </w:tblPr>
      <w:tblGrid>
        <w:gridCol w:w="2608"/>
        <w:gridCol w:w="567"/>
        <w:gridCol w:w="567"/>
        <w:gridCol w:w="567"/>
        <w:gridCol w:w="567"/>
        <w:gridCol w:w="567"/>
        <w:gridCol w:w="567"/>
        <w:gridCol w:w="567"/>
        <w:gridCol w:w="737"/>
        <w:gridCol w:w="737"/>
        <w:gridCol w:w="737"/>
        <w:gridCol w:w="737"/>
        <w:gridCol w:w="737"/>
        <w:gridCol w:w="737"/>
        <w:gridCol w:w="737"/>
        <w:gridCol w:w="737"/>
        <w:gridCol w:w="737"/>
        <w:gridCol w:w="737"/>
      </w:tblGrid>
      <w:tr w:rsidR="004C43A6" w:rsidRPr="00EB5B0E" w:rsidTr="004F1DAE">
        <w:trPr>
          <w:trHeight w:val="227"/>
        </w:trPr>
        <w:tc>
          <w:tcPr>
            <w:tcW w:w="2608"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 xml:space="preserve">All </w:t>
            </w:r>
            <w:r>
              <w:rPr>
                <w:rFonts w:ascii="Calibri" w:hAnsi="Calibri" w:cs="Calibri"/>
                <w:b/>
                <w:bCs/>
                <w:color w:val="000000"/>
                <w:lang w:eastAsia="en-GB"/>
              </w:rPr>
              <w:t>Smoker</w:t>
            </w:r>
            <w:r w:rsidRPr="00BE1A84">
              <w:rPr>
                <w:rFonts w:ascii="Calibri" w:hAnsi="Calibri" w:cs="Calibri"/>
                <w:b/>
                <w:bCs/>
                <w:color w:val="000000"/>
                <w:lang w:eastAsia="en-GB"/>
              </w:rPr>
              <w:t>s</w:t>
            </w:r>
          </w:p>
        </w:tc>
        <w:tc>
          <w:tcPr>
            <w:tcW w:w="3969"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c>
          <w:tcPr>
            <w:tcW w:w="368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4F1DAE">
            <w:pPr>
              <w:jc w:val="center"/>
              <w:rPr>
                <w:rFonts w:ascii="Calibri" w:hAnsi="Calibri" w:cs="Calibri"/>
                <w:b/>
                <w:bCs/>
                <w:color w:val="000000"/>
              </w:rPr>
            </w:pPr>
            <w:r>
              <w:rPr>
                <w:rFonts w:ascii="Calibri" w:hAnsi="Calibri" w:cs="Calibri"/>
                <w:b/>
                <w:bCs/>
                <w:color w:val="000000"/>
              </w:rPr>
              <w:t>Number smoked on weekdays</w:t>
            </w:r>
          </w:p>
        </w:tc>
        <w:tc>
          <w:tcPr>
            <w:tcW w:w="368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4F1DAE">
            <w:pPr>
              <w:jc w:val="center"/>
              <w:rPr>
                <w:rFonts w:ascii="Calibri" w:hAnsi="Calibri" w:cs="Calibri"/>
                <w:b/>
                <w:bCs/>
                <w:color w:val="000000"/>
              </w:rPr>
            </w:pPr>
            <w:r>
              <w:rPr>
                <w:rFonts w:ascii="Calibri" w:hAnsi="Calibri" w:cs="Calibri"/>
                <w:b/>
                <w:bCs/>
                <w:color w:val="000000"/>
              </w:rPr>
              <w:t>Number smoked on weekends</w:t>
            </w:r>
          </w:p>
        </w:tc>
      </w:tr>
      <w:tr w:rsidR="004C43A6" w:rsidRPr="00462493" w:rsidTr="004F1DAE">
        <w:trPr>
          <w:trHeight w:val="540"/>
        </w:trPr>
        <w:tc>
          <w:tcPr>
            <w:tcW w:w="2608"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567"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16-24</w:t>
            </w:r>
          </w:p>
        </w:tc>
        <w:tc>
          <w:tcPr>
            <w:tcW w:w="56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25-34</w:t>
            </w:r>
          </w:p>
        </w:tc>
        <w:tc>
          <w:tcPr>
            <w:tcW w:w="5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5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5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5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65-74</w:t>
            </w:r>
          </w:p>
        </w:tc>
        <w:tc>
          <w:tcPr>
            <w:tcW w:w="56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75+</w:t>
            </w:r>
          </w:p>
        </w:tc>
        <w:tc>
          <w:tcPr>
            <w:tcW w:w="737"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0-5</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6-10</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11-15</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16-20</w:t>
            </w:r>
          </w:p>
        </w:tc>
        <w:tc>
          <w:tcPr>
            <w:tcW w:w="73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Over 20</w:t>
            </w:r>
          </w:p>
        </w:tc>
        <w:tc>
          <w:tcPr>
            <w:tcW w:w="737"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0-5</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6-10</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11-15</w:t>
            </w:r>
          </w:p>
        </w:tc>
        <w:tc>
          <w:tcPr>
            <w:tcW w:w="73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16-20</w:t>
            </w:r>
          </w:p>
        </w:tc>
        <w:tc>
          <w:tcPr>
            <w:tcW w:w="73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Over 20</w:t>
            </w:r>
          </w:p>
        </w:tc>
      </w:tr>
      <w:tr w:rsidR="004C43A6" w:rsidTr="00AB341A">
        <w:trPr>
          <w:trHeight w:val="283"/>
        </w:trPr>
        <w:tc>
          <w:tcPr>
            <w:tcW w:w="260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Pr="00AB341A" w:rsidRDefault="004C43A6" w:rsidP="004F1DAE">
            <w:pPr>
              <w:rPr>
                <w:rFonts w:ascii="Calibri" w:hAnsi="Calibri" w:cs="Calibri"/>
                <w:b/>
                <w:bCs/>
                <w:color w:val="000000"/>
              </w:rPr>
            </w:pPr>
            <w:r w:rsidRPr="00AB341A">
              <w:rPr>
                <w:rFonts w:ascii="Calibri" w:hAnsi="Calibri" w:cs="Calibri"/>
                <w:b/>
                <w:bCs/>
                <w:color w:val="000000"/>
              </w:rPr>
              <w:t xml:space="preserve">Filter-tipped </w:t>
            </w:r>
          </w:p>
        </w:tc>
        <w:tc>
          <w:tcPr>
            <w:tcW w:w="56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82</w:t>
            </w:r>
          </w:p>
        </w:tc>
        <w:tc>
          <w:tcPr>
            <w:tcW w:w="56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77</w:t>
            </w:r>
          </w:p>
        </w:tc>
        <w:tc>
          <w:tcPr>
            <w:tcW w:w="56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72</w:t>
            </w:r>
          </w:p>
        </w:tc>
        <w:tc>
          <w:tcPr>
            <w:tcW w:w="56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79</w:t>
            </w:r>
          </w:p>
        </w:tc>
        <w:tc>
          <w:tcPr>
            <w:tcW w:w="56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82</w:t>
            </w:r>
          </w:p>
        </w:tc>
        <w:tc>
          <w:tcPr>
            <w:tcW w:w="567"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91</w:t>
            </w:r>
          </w:p>
        </w:tc>
        <w:tc>
          <w:tcPr>
            <w:tcW w:w="56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93</w:t>
            </w:r>
          </w:p>
        </w:tc>
        <w:tc>
          <w:tcPr>
            <w:tcW w:w="737"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87</w:t>
            </w:r>
          </w:p>
        </w:tc>
        <w:tc>
          <w:tcPr>
            <w:tcW w:w="73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79</w:t>
            </w:r>
          </w:p>
        </w:tc>
        <w:tc>
          <w:tcPr>
            <w:tcW w:w="73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78</w:t>
            </w:r>
          </w:p>
        </w:tc>
        <w:tc>
          <w:tcPr>
            <w:tcW w:w="73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80</w:t>
            </w:r>
          </w:p>
        </w:tc>
        <w:tc>
          <w:tcPr>
            <w:tcW w:w="73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64</w:t>
            </w:r>
          </w:p>
        </w:tc>
        <w:tc>
          <w:tcPr>
            <w:tcW w:w="73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87</w:t>
            </w:r>
          </w:p>
        </w:tc>
        <w:tc>
          <w:tcPr>
            <w:tcW w:w="73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82</w:t>
            </w:r>
          </w:p>
        </w:tc>
        <w:tc>
          <w:tcPr>
            <w:tcW w:w="73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75</w:t>
            </w:r>
          </w:p>
        </w:tc>
        <w:tc>
          <w:tcPr>
            <w:tcW w:w="73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80</w:t>
            </w:r>
          </w:p>
        </w:tc>
        <w:tc>
          <w:tcPr>
            <w:tcW w:w="73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68</w:t>
            </w:r>
          </w:p>
        </w:tc>
      </w:tr>
      <w:tr w:rsidR="004C43A6" w:rsidTr="00AB341A">
        <w:trPr>
          <w:trHeight w:val="283"/>
        </w:trPr>
        <w:tc>
          <w:tcPr>
            <w:tcW w:w="2608"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AB341A" w:rsidRDefault="004C43A6" w:rsidP="004F1DAE">
            <w:pPr>
              <w:rPr>
                <w:rFonts w:ascii="Calibri" w:hAnsi="Calibri" w:cs="Calibri"/>
                <w:b/>
                <w:bCs/>
                <w:color w:val="000000"/>
              </w:rPr>
            </w:pPr>
            <w:r w:rsidRPr="00AB341A">
              <w:rPr>
                <w:rFonts w:ascii="Calibri" w:hAnsi="Calibri" w:cs="Calibri"/>
                <w:b/>
                <w:bCs/>
                <w:color w:val="000000"/>
              </w:rPr>
              <w:t>Plain/Untipped/Hand-rolled</w:t>
            </w:r>
          </w:p>
        </w:tc>
        <w:tc>
          <w:tcPr>
            <w:tcW w:w="56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18</w:t>
            </w:r>
          </w:p>
        </w:tc>
        <w:tc>
          <w:tcPr>
            <w:tcW w:w="567"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23</w:t>
            </w:r>
          </w:p>
        </w:tc>
        <w:tc>
          <w:tcPr>
            <w:tcW w:w="567"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28</w:t>
            </w:r>
          </w:p>
        </w:tc>
        <w:tc>
          <w:tcPr>
            <w:tcW w:w="567"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21</w:t>
            </w:r>
          </w:p>
        </w:tc>
        <w:tc>
          <w:tcPr>
            <w:tcW w:w="567" w:type="dxa"/>
            <w:tcBorders>
              <w:top w:val="nil"/>
              <w:left w:val="single" w:sz="4" w:space="0" w:color="auto"/>
              <w:bottom w:val="single" w:sz="12" w:space="0" w:color="auto"/>
              <w:right w:val="single" w:sz="4" w:space="0" w:color="auto"/>
            </w:tcBorders>
            <w:shd w:val="clear" w:color="auto" w:fill="F2F2F2" w:themeFill="background1" w:themeFillShade="F2"/>
            <w:vAlign w:val="bottom"/>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18</w:t>
            </w:r>
          </w:p>
        </w:tc>
        <w:tc>
          <w:tcPr>
            <w:tcW w:w="567" w:type="dxa"/>
            <w:tcBorders>
              <w:top w:val="nil"/>
              <w:left w:val="single" w:sz="4" w:space="0" w:color="auto"/>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9</w:t>
            </w:r>
          </w:p>
        </w:tc>
        <w:tc>
          <w:tcPr>
            <w:tcW w:w="567"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7</w:t>
            </w:r>
          </w:p>
        </w:tc>
        <w:tc>
          <w:tcPr>
            <w:tcW w:w="737"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13</w:t>
            </w:r>
          </w:p>
        </w:tc>
        <w:tc>
          <w:tcPr>
            <w:tcW w:w="737"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21</w:t>
            </w:r>
          </w:p>
        </w:tc>
        <w:tc>
          <w:tcPr>
            <w:tcW w:w="737"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22</w:t>
            </w:r>
          </w:p>
        </w:tc>
        <w:tc>
          <w:tcPr>
            <w:tcW w:w="737"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20</w:t>
            </w:r>
          </w:p>
        </w:tc>
        <w:tc>
          <w:tcPr>
            <w:tcW w:w="73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36</w:t>
            </w:r>
          </w:p>
        </w:tc>
        <w:tc>
          <w:tcPr>
            <w:tcW w:w="73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13</w:t>
            </w:r>
          </w:p>
        </w:tc>
        <w:tc>
          <w:tcPr>
            <w:tcW w:w="737"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18</w:t>
            </w:r>
          </w:p>
        </w:tc>
        <w:tc>
          <w:tcPr>
            <w:tcW w:w="737"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25</w:t>
            </w:r>
          </w:p>
        </w:tc>
        <w:tc>
          <w:tcPr>
            <w:tcW w:w="737"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20</w:t>
            </w:r>
          </w:p>
        </w:tc>
        <w:tc>
          <w:tcPr>
            <w:tcW w:w="737"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Pr="00AB341A" w:rsidRDefault="004C43A6" w:rsidP="004F1DAE">
            <w:pPr>
              <w:jc w:val="right"/>
              <w:rPr>
                <w:rFonts w:ascii="Calibri" w:hAnsi="Calibri" w:cs="Calibri"/>
                <w:color w:val="000000"/>
                <w:sz w:val="22"/>
                <w:szCs w:val="22"/>
              </w:rPr>
            </w:pPr>
            <w:r w:rsidRPr="00AB341A">
              <w:rPr>
                <w:rFonts w:ascii="Calibri" w:hAnsi="Calibri" w:cs="Calibri"/>
                <w:color w:val="000000"/>
                <w:sz w:val="22"/>
                <w:szCs w:val="22"/>
              </w:rPr>
              <w:t>32</w:t>
            </w:r>
          </w:p>
        </w:tc>
      </w:tr>
    </w:tbl>
    <w:p w:rsidR="00555E2B" w:rsidRDefault="00555E2B"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Is smoking allowed in your house? – All Households</w:t>
      </w:r>
    </w:p>
    <w:tbl>
      <w:tblPr>
        <w:tblW w:w="14217" w:type="dxa"/>
        <w:tblInd w:w="93" w:type="dxa"/>
        <w:tblLook w:val="04A0" w:firstRow="1" w:lastRow="0" w:firstColumn="1" w:lastColumn="0" w:noHBand="0" w:noVBand="1"/>
      </w:tblPr>
      <w:tblGrid>
        <w:gridCol w:w="272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72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72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Tr="00AB341A">
        <w:trPr>
          <w:trHeight w:val="283"/>
        </w:trPr>
        <w:tc>
          <w:tcPr>
            <w:tcW w:w="272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No, not at all</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78</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76</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77</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74</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81</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70</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83</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88</w:t>
            </w:r>
          </w:p>
        </w:tc>
      </w:tr>
      <w:tr w:rsidR="004C43A6" w:rsidTr="00AB341A">
        <w:trPr>
          <w:trHeight w:val="283"/>
        </w:trPr>
        <w:tc>
          <w:tcPr>
            <w:tcW w:w="272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Yes, anywhere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r>
      <w:tr w:rsidR="004C43A6" w:rsidTr="00AB341A">
        <w:trPr>
          <w:trHeight w:val="283"/>
        </w:trPr>
        <w:tc>
          <w:tcPr>
            <w:tcW w:w="272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Yes, but only in certain places and/or certain occasions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r>
    </w:tbl>
    <w:p w:rsidR="004C43A6" w:rsidRDefault="004C43A6" w:rsidP="004E2A30">
      <w:pPr>
        <w:tabs>
          <w:tab w:val="center" w:pos="4075"/>
        </w:tabs>
        <w:autoSpaceDE w:val="0"/>
        <w:autoSpaceDN w:val="0"/>
        <w:adjustRightInd w:val="0"/>
        <w:spacing w:before="40"/>
        <w:rPr>
          <w:rFonts w:asciiTheme="minorHAnsi" w:hAnsiTheme="minorHAnsi" w:cstheme="minorHAnsi"/>
          <w:b/>
          <w:sz w:val="22"/>
          <w:szCs w:val="22"/>
        </w:rPr>
      </w:pPr>
      <w:r>
        <w:rPr>
          <w:rFonts w:asciiTheme="minorHAnsi" w:hAnsiTheme="minorHAnsi" w:cstheme="minorHAnsi"/>
          <w:b/>
          <w:sz w:val="22"/>
          <w:szCs w:val="22"/>
        </w:rPr>
        <w:t>Is smoking allowed in your house? – Households with children</w:t>
      </w:r>
    </w:p>
    <w:tbl>
      <w:tblPr>
        <w:tblW w:w="14217" w:type="dxa"/>
        <w:tblInd w:w="93" w:type="dxa"/>
        <w:tblLook w:val="04A0" w:firstRow="1" w:lastRow="0" w:firstColumn="1" w:lastColumn="0" w:noHBand="0" w:noVBand="1"/>
      </w:tblPr>
      <w:tblGrid>
        <w:gridCol w:w="272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72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72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Tr="00AB341A">
        <w:trPr>
          <w:trHeight w:val="283"/>
        </w:trPr>
        <w:tc>
          <w:tcPr>
            <w:tcW w:w="272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No, not at all</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85</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86</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85</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83</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88</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77</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87</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83</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93</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89</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93</w:t>
            </w:r>
          </w:p>
        </w:tc>
      </w:tr>
      <w:tr w:rsidR="004C43A6" w:rsidTr="00AB341A">
        <w:trPr>
          <w:trHeight w:val="283"/>
        </w:trPr>
        <w:tc>
          <w:tcPr>
            <w:tcW w:w="272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Yes, anywhere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r>
      <w:tr w:rsidR="004C43A6" w:rsidTr="00AB341A">
        <w:trPr>
          <w:trHeight w:val="283"/>
        </w:trPr>
        <w:tc>
          <w:tcPr>
            <w:tcW w:w="272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Yes, but only in certain places and/or certain occasions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r>
    </w:tbl>
    <w:p w:rsidR="004C43A6" w:rsidRDefault="004C43A6" w:rsidP="004E2A30">
      <w:pPr>
        <w:tabs>
          <w:tab w:val="center" w:pos="4075"/>
        </w:tabs>
        <w:autoSpaceDE w:val="0"/>
        <w:autoSpaceDN w:val="0"/>
        <w:adjustRightInd w:val="0"/>
        <w:spacing w:before="40"/>
        <w:rPr>
          <w:rFonts w:asciiTheme="minorHAnsi" w:hAnsiTheme="minorHAnsi" w:cstheme="minorHAnsi"/>
          <w:b/>
          <w:sz w:val="22"/>
          <w:szCs w:val="22"/>
        </w:rPr>
      </w:pPr>
      <w:r>
        <w:rPr>
          <w:rFonts w:asciiTheme="minorHAnsi" w:hAnsiTheme="minorHAnsi" w:cstheme="minorHAnsi"/>
          <w:b/>
          <w:sz w:val="22"/>
          <w:szCs w:val="22"/>
        </w:rPr>
        <w:t>Is smoking allowed in your house? – Households with no children</w:t>
      </w:r>
    </w:p>
    <w:tbl>
      <w:tblPr>
        <w:tblW w:w="14217" w:type="dxa"/>
        <w:tblInd w:w="93" w:type="dxa"/>
        <w:tblLook w:val="04A0" w:firstRow="1" w:lastRow="0" w:firstColumn="1" w:lastColumn="0" w:noHBand="0" w:noVBand="1"/>
      </w:tblPr>
      <w:tblGrid>
        <w:gridCol w:w="272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72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72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Tr="00AB341A">
        <w:trPr>
          <w:trHeight w:val="283"/>
        </w:trPr>
        <w:tc>
          <w:tcPr>
            <w:tcW w:w="272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No, not at all</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74</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75</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74</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74</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73</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76</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75</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86</w:t>
            </w:r>
          </w:p>
        </w:tc>
      </w:tr>
      <w:tr w:rsidR="004C43A6" w:rsidTr="00AB341A">
        <w:trPr>
          <w:trHeight w:val="283"/>
        </w:trPr>
        <w:tc>
          <w:tcPr>
            <w:tcW w:w="272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Yes, anywhere</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r>
      <w:tr w:rsidR="004C43A6" w:rsidTr="00AB341A">
        <w:trPr>
          <w:trHeight w:val="283"/>
        </w:trPr>
        <w:tc>
          <w:tcPr>
            <w:tcW w:w="272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Yes, but only in certain places and/or certain occasions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r>
    </w:tbl>
    <w:p w:rsidR="004C43A6" w:rsidRDefault="004C43A6" w:rsidP="004E2A30">
      <w:pPr>
        <w:tabs>
          <w:tab w:val="center" w:pos="4075"/>
        </w:tabs>
        <w:autoSpaceDE w:val="0"/>
        <w:autoSpaceDN w:val="0"/>
        <w:adjustRightInd w:val="0"/>
        <w:spacing w:before="20"/>
        <w:rPr>
          <w:rFonts w:asciiTheme="minorHAnsi" w:hAnsiTheme="minorHAnsi" w:cstheme="minorHAnsi"/>
          <w:b/>
          <w:sz w:val="22"/>
          <w:szCs w:val="22"/>
        </w:rPr>
      </w:pPr>
      <w:r>
        <w:rPr>
          <w:rFonts w:asciiTheme="minorHAnsi" w:hAnsiTheme="minorHAnsi" w:cstheme="minorHAnsi"/>
          <w:b/>
          <w:sz w:val="22"/>
          <w:szCs w:val="22"/>
        </w:rPr>
        <w:t>Is s</w:t>
      </w:r>
      <w:r w:rsidR="00873670">
        <w:rPr>
          <w:rFonts w:asciiTheme="minorHAnsi" w:hAnsiTheme="minorHAnsi" w:cstheme="minorHAnsi"/>
          <w:b/>
          <w:sz w:val="22"/>
          <w:szCs w:val="22"/>
        </w:rPr>
        <w:t>m</w:t>
      </w:r>
      <w:r>
        <w:rPr>
          <w:rFonts w:asciiTheme="minorHAnsi" w:hAnsiTheme="minorHAnsi" w:cstheme="minorHAnsi"/>
          <w:b/>
          <w:sz w:val="22"/>
          <w:szCs w:val="22"/>
        </w:rPr>
        <w:t xml:space="preserve">oking allowed in your </w:t>
      </w:r>
      <w:r w:rsidRPr="008E006C">
        <w:rPr>
          <w:rFonts w:asciiTheme="minorHAnsi" w:hAnsiTheme="minorHAnsi" w:cstheme="minorHAnsi"/>
          <w:b/>
          <w:sz w:val="22"/>
          <w:szCs w:val="22"/>
        </w:rPr>
        <w:t>family car or cars?</w:t>
      </w:r>
      <w:r>
        <w:rPr>
          <w:rFonts w:asciiTheme="minorHAnsi" w:hAnsiTheme="minorHAnsi" w:cstheme="minorHAnsi"/>
          <w:b/>
          <w:sz w:val="22"/>
          <w:szCs w:val="22"/>
        </w:rPr>
        <w:t xml:space="preserve"> – All who have a family car</w:t>
      </w:r>
    </w:p>
    <w:tbl>
      <w:tblPr>
        <w:tblW w:w="14217" w:type="dxa"/>
        <w:tblInd w:w="93" w:type="dxa"/>
        <w:tblLook w:val="04A0" w:firstRow="1" w:lastRow="0" w:firstColumn="1" w:lastColumn="0" w:noHBand="0" w:noVBand="1"/>
      </w:tblPr>
      <w:tblGrid>
        <w:gridCol w:w="272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72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72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Tr="00AB341A">
        <w:trPr>
          <w:trHeight w:val="283"/>
        </w:trPr>
        <w:tc>
          <w:tcPr>
            <w:tcW w:w="272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Smoking is never allowed in any car</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84</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83</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84</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84</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86</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85</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83</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85</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79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80</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87</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89</w:t>
            </w:r>
          </w:p>
        </w:tc>
      </w:tr>
      <w:tr w:rsidR="004C43A6" w:rsidTr="00AB341A">
        <w:trPr>
          <w:trHeight w:val="283"/>
        </w:trPr>
        <w:tc>
          <w:tcPr>
            <w:tcW w:w="272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Smoking is allowed sometimes or in some cars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10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11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r>
      <w:tr w:rsidR="004C43A6" w:rsidTr="00AB341A">
        <w:trPr>
          <w:trHeight w:val="283"/>
        </w:trPr>
        <w:tc>
          <w:tcPr>
            <w:tcW w:w="272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Smoking is allowed in all cars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r>
      <w:tr w:rsidR="004C43A6" w:rsidTr="00AB341A">
        <w:trPr>
          <w:trHeight w:val="283"/>
        </w:trPr>
        <w:tc>
          <w:tcPr>
            <w:tcW w:w="272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Smoking is not allowed when children are travelling in car</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3</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1</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AB341A">
            <w:pPr>
              <w:jc w:val="right"/>
              <w:rPr>
                <w:rFonts w:ascii="Calibri" w:hAnsi="Calibri" w:cs="Calibri"/>
                <w:color w:val="000000"/>
                <w:sz w:val="22"/>
                <w:szCs w:val="22"/>
              </w:rPr>
            </w:pPr>
            <w:r>
              <w:rPr>
                <w:rFonts w:ascii="Calibri" w:hAnsi="Calibri" w:cs="Calibri"/>
                <w:color w:val="000000"/>
                <w:sz w:val="22"/>
                <w:szCs w:val="22"/>
              </w:rPr>
              <w:t>2</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Attempted to Stop Smoking – All Smokers</w:t>
      </w:r>
    </w:p>
    <w:tbl>
      <w:tblPr>
        <w:tblW w:w="14785" w:type="dxa"/>
        <w:tblLook w:val="04A0" w:firstRow="1" w:lastRow="0" w:firstColumn="1" w:lastColumn="0" w:noHBand="0" w:noVBand="1"/>
      </w:tblPr>
      <w:tblGrid>
        <w:gridCol w:w="1474"/>
        <w:gridCol w:w="713"/>
        <w:gridCol w:w="538"/>
        <w:gridCol w:w="718"/>
        <w:gridCol w:w="630"/>
        <w:gridCol w:w="553"/>
        <w:gridCol w:w="44"/>
        <w:gridCol w:w="644"/>
        <w:gridCol w:w="881"/>
        <w:gridCol w:w="739"/>
        <w:gridCol w:w="880"/>
        <w:gridCol w:w="825"/>
        <w:gridCol w:w="871"/>
        <w:gridCol w:w="440"/>
        <w:gridCol w:w="440"/>
        <w:gridCol w:w="440"/>
        <w:gridCol w:w="871"/>
        <w:gridCol w:w="440"/>
        <w:gridCol w:w="440"/>
        <w:gridCol w:w="440"/>
        <w:gridCol w:w="440"/>
        <w:gridCol w:w="440"/>
        <w:gridCol w:w="440"/>
        <w:gridCol w:w="444"/>
      </w:tblGrid>
      <w:tr w:rsidR="00AD4B06" w:rsidRPr="00EB5B0E" w:rsidTr="0024600E">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AD4B06" w:rsidRPr="00BE1A84" w:rsidRDefault="00AD4B06" w:rsidP="0020699A">
            <w:pPr>
              <w:rPr>
                <w:rFonts w:ascii="Calibri" w:hAnsi="Calibri" w:cs="Calibri"/>
                <w:b/>
                <w:bCs/>
                <w:color w:val="000000"/>
                <w:lang w:eastAsia="en-GB"/>
              </w:rPr>
            </w:pPr>
            <w:r>
              <w:rPr>
                <w:rFonts w:ascii="Calibri" w:hAnsi="Calibri" w:cs="Calibri"/>
                <w:b/>
                <w:bCs/>
                <w:color w:val="000000"/>
                <w:lang w:eastAsia="en-GB"/>
              </w:rPr>
              <w:t>All Smokers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953661" w:rsidRDefault="00AD4B06" w:rsidP="0020699A">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EB5B0E" w:rsidRDefault="00AD4B06" w:rsidP="0020699A">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227"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EB5B0E" w:rsidRDefault="00AD4B06" w:rsidP="0020699A">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3969"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EB5B0E" w:rsidRDefault="00AD4B06" w:rsidP="0020699A">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EB5B0E" w:rsidRDefault="00AD4B06" w:rsidP="0020699A">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AD4B06" w:rsidRPr="00EB5B0E" w:rsidRDefault="00AD4B06" w:rsidP="0020699A">
            <w:pPr>
              <w:jc w:val="center"/>
              <w:rPr>
                <w:rFonts w:ascii="Calibri" w:hAnsi="Calibri" w:cs="Calibri"/>
                <w:b/>
                <w:bCs/>
                <w:color w:val="000000"/>
                <w:lang w:eastAsia="en-GB"/>
              </w:rPr>
            </w:pPr>
            <w:r>
              <w:rPr>
                <w:rFonts w:ascii="Calibri" w:hAnsi="Calibri" w:cs="Calibri"/>
                <w:b/>
                <w:bCs/>
                <w:color w:val="000000"/>
                <w:lang w:eastAsia="en-GB"/>
              </w:rPr>
              <w:t>Age</w:t>
            </w:r>
          </w:p>
        </w:tc>
      </w:tr>
      <w:tr w:rsidR="00AD4B06" w:rsidTr="0024600E">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AD4B06" w:rsidRPr="00462493" w:rsidRDefault="00AD4B06" w:rsidP="0020699A">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Pr="00462493" w:rsidRDefault="00AD4B06" w:rsidP="0020699A">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18-24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AD4B06" w:rsidRDefault="00AD4B06" w:rsidP="0020699A">
            <w:pPr>
              <w:rPr>
                <w:rFonts w:ascii="Calibri" w:hAnsi="Calibri" w:cs="Calibri"/>
                <w:b/>
                <w:bCs/>
                <w:color w:val="000000"/>
              </w:rPr>
            </w:pPr>
            <w:r>
              <w:rPr>
                <w:rFonts w:ascii="Calibri" w:hAnsi="Calibri" w:cs="Calibri"/>
                <w:b/>
                <w:bCs/>
                <w:color w:val="000000"/>
              </w:rPr>
              <w:t>75+</w:t>
            </w:r>
          </w:p>
        </w:tc>
      </w:tr>
      <w:tr w:rsidR="00AD4B06" w:rsidTr="0024600E">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B06" w:rsidRDefault="00AD4B06" w:rsidP="00977928">
            <w:pPr>
              <w:jc w:val="left"/>
              <w:rPr>
                <w:rFonts w:ascii="Calibri" w:hAnsi="Calibri" w:cs="Calibri"/>
                <w:b/>
                <w:bCs/>
                <w:color w:val="000000"/>
              </w:rPr>
            </w:pPr>
            <w:r>
              <w:rPr>
                <w:rFonts w:ascii="Calibri" w:hAnsi="Calibri" w:cs="Calibri"/>
                <w:b/>
                <w:bCs/>
                <w:color w:val="000000"/>
              </w:rPr>
              <w:t>Have tried to stop smoking</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80</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73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77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84</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58</w:t>
            </w:r>
          </w:p>
        </w:tc>
      </w:tr>
      <w:tr w:rsidR="00AD4B06" w:rsidTr="0024600E">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B06" w:rsidRDefault="00AD4B06" w:rsidP="00977928">
            <w:pPr>
              <w:jc w:val="left"/>
              <w:rPr>
                <w:rFonts w:ascii="Calibri" w:hAnsi="Calibri" w:cs="Calibri"/>
                <w:b/>
                <w:bCs/>
                <w:color w:val="000000"/>
              </w:rPr>
            </w:pPr>
            <w:r>
              <w:rPr>
                <w:rFonts w:ascii="Calibri" w:hAnsi="Calibri" w:cs="Calibri"/>
                <w:b/>
                <w:bCs/>
                <w:color w:val="000000"/>
              </w:rPr>
              <w:t>Have not tried to stop smoking</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20</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20</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23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AD4B06" w:rsidRDefault="00AD4B06">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16</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AD4B06" w:rsidRDefault="00AD4B06">
            <w:pPr>
              <w:jc w:val="right"/>
              <w:rPr>
                <w:rFonts w:ascii="Calibri" w:hAnsi="Calibri" w:cs="Calibri"/>
                <w:color w:val="000000"/>
                <w:sz w:val="22"/>
                <w:szCs w:val="22"/>
              </w:rPr>
            </w:pPr>
            <w:r>
              <w:rPr>
                <w:rFonts w:ascii="Calibri" w:hAnsi="Calibri" w:cs="Calibri"/>
                <w:color w:val="000000"/>
                <w:sz w:val="22"/>
                <w:szCs w:val="22"/>
              </w:rPr>
              <w:t>42</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Pr="00AC756F" w:rsidRDefault="004C43A6" w:rsidP="00AC756F">
      <w:pPr>
        <w:pStyle w:val="Heading3"/>
        <w:spacing w:before="0"/>
        <w:rPr>
          <w:rFonts w:asciiTheme="minorHAnsi" w:hAnsiTheme="minorHAnsi" w:cstheme="minorHAnsi"/>
          <w:color w:val="auto"/>
          <w:sz w:val="22"/>
          <w:szCs w:val="22"/>
        </w:rPr>
      </w:pPr>
      <w:bookmarkStart w:id="76" w:name="_Ref381946676"/>
      <w:r w:rsidRPr="00AC756F">
        <w:rPr>
          <w:rFonts w:asciiTheme="minorHAnsi" w:hAnsiTheme="minorHAnsi" w:cstheme="minorHAnsi"/>
          <w:color w:val="auto"/>
          <w:sz w:val="22"/>
          <w:szCs w:val="22"/>
        </w:rPr>
        <w:t>Drinks Alcohol? – Over 18s</w:t>
      </w:r>
      <w:bookmarkEnd w:id="76"/>
    </w:p>
    <w:tbl>
      <w:tblPr>
        <w:tblW w:w="14785" w:type="dxa"/>
        <w:tblLook w:val="04A0" w:firstRow="1" w:lastRow="0" w:firstColumn="1" w:lastColumn="0" w:noHBand="0" w:noVBand="1"/>
      </w:tblPr>
      <w:tblGrid>
        <w:gridCol w:w="1474"/>
        <w:gridCol w:w="713"/>
        <w:gridCol w:w="538"/>
        <w:gridCol w:w="718"/>
        <w:gridCol w:w="630"/>
        <w:gridCol w:w="553"/>
        <w:gridCol w:w="44"/>
        <w:gridCol w:w="644"/>
        <w:gridCol w:w="881"/>
        <w:gridCol w:w="739"/>
        <w:gridCol w:w="880"/>
        <w:gridCol w:w="825"/>
        <w:gridCol w:w="871"/>
        <w:gridCol w:w="440"/>
        <w:gridCol w:w="440"/>
        <w:gridCol w:w="440"/>
        <w:gridCol w:w="871"/>
        <w:gridCol w:w="440"/>
        <w:gridCol w:w="440"/>
        <w:gridCol w:w="440"/>
        <w:gridCol w:w="440"/>
        <w:gridCol w:w="440"/>
        <w:gridCol w:w="440"/>
        <w:gridCol w:w="444"/>
      </w:tblGrid>
      <w:tr w:rsidR="004C43A6" w:rsidRPr="00EB5B0E" w:rsidTr="0024600E">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BE1A84" w:rsidRDefault="004C43A6" w:rsidP="004F1DAE">
            <w:pPr>
              <w:rPr>
                <w:rFonts w:ascii="Calibri" w:hAnsi="Calibri" w:cs="Calibri"/>
                <w:b/>
                <w:bCs/>
                <w:color w:val="000000"/>
                <w:lang w:eastAsia="en-GB"/>
              </w:rPr>
            </w:pPr>
            <w:r>
              <w:rPr>
                <w:rFonts w:ascii="Calibri" w:hAnsi="Calibri" w:cs="Calibri"/>
                <w:b/>
                <w:bCs/>
                <w:color w:val="000000"/>
                <w:lang w:eastAsia="en-GB"/>
              </w:rPr>
              <w:t>Over 18s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227"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3969"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RPr="00462493" w:rsidTr="0024600E">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18-24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Tr="0024600E">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Drinks alcohol</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67</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52</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r>
      <w:tr w:rsidR="004C43A6" w:rsidTr="0024600E">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Drinks alcohol occasionally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r>
      <w:tr w:rsidR="004C43A6" w:rsidTr="0024600E">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 xml:space="preserve">Used to drink alcohol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r>
      <w:tr w:rsidR="004C43A6" w:rsidTr="0024600E">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Default="004C43A6" w:rsidP="00977928">
            <w:pPr>
              <w:jc w:val="left"/>
              <w:rPr>
                <w:rFonts w:ascii="Calibri" w:hAnsi="Calibri" w:cs="Calibri"/>
                <w:b/>
                <w:bCs/>
                <w:color w:val="000000"/>
              </w:rPr>
            </w:pPr>
            <w:r>
              <w:rPr>
                <w:rFonts w:ascii="Calibri" w:hAnsi="Calibri" w:cs="Calibri"/>
                <w:b/>
                <w:bCs/>
                <w:color w:val="000000"/>
              </w:rPr>
              <w:t>Never drank alcohol</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Pr="00AC756F" w:rsidRDefault="004C43A6" w:rsidP="00AC756F">
      <w:pPr>
        <w:pStyle w:val="Heading3"/>
        <w:spacing w:before="0"/>
        <w:rPr>
          <w:rFonts w:asciiTheme="minorHAnsi" w:hAnsiTheme="minorHAnsi" w:cstheme="minorHAnsi"/>
          <w:color w:val="auto"/>
          <w:sz w:val="22"/>
          <w:szCs w:val="22"/>
        </w:rPr>
      </w:pPr>
      <w:bookmarkStart w:id="77" w:name="_Ref381946681"/>
      <w:r w:rsidRPr="00AC756F">
        <w:rPr>
          <w:rFonts w:asciiTheme="minorHAnsi" w:hAnsiTheme="minorHAnsi" w:cstheme="minorHAnsi"/>
          <w:color w:val="auto"/>
          <w:sz w:val="22"/>
          <w:szCs w:val="22"/>
        </w:rPr>
        <w:t>BMI Categories – All respondents aged 16 and over</w:t>
      </w:r>
      <w:bookmarkEnd w:id="77"/>
    </w:p>
    <w:tbl>
      <w:tblPr>
        <w:tblW w:w="14785" w:type="dxa"/>
        <w:tblLook w:val="04A0" w:firstRow="1" w:lastRow="0" w:firstColumn="1" w:lastColumn="0" w:noHBand="0" w:noVBand="1"/>
      </w:tblPr>
      <w:tblGrid>
        <w:gridCol w:w="1474"/>
        <w:gridCol w:w="713"/>
        <w:gridCol w:w="538"/>
        <w:gridCol w:w="718"/>
        <w:gridCol w:w="630"/>
        <w:gridCol w:w="553"/>
        <w:gridCol w:w="44"/>
        <w:gridCol w:w="644"/>
        <w:gridCol w:w="881"/>
        <w:gridCol w:w="739"/>
        <w:gridCol w:w="880"/>
        <w:gridCol w:w="825"/>
        <w:gridCol w:w="871"/>
        <w:gridCol w:w="440"/>
        <w:gridCol w:w="440"/>
        <w:gridCol w:w="440"/>
        <w:gridCol w:w="871"/>
        <w:gridCol w:w="440"/>
        <w:gridCol w:w="440"/>
        <w:gridCol w:w="440"/>
        <w:gridCol w:w="440"/>
        <w:gridCol w:w="440"/>
        <w:gridCol w:w="440"/>
        <w:gridCol w:w="444"/>
      </w:tblGrid>
      <w:tr w:rsidR="004C43A6" w:rsidRPr="00EB5B0E" w:rsidTr="0024600E">
        <w:trPr>
          <w:trHeight w:val="227"/>
        </w:trPr>
        <w:tc>
          <w:tcPr>
            <w:tcW w:w="147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BE1A84" w:rsidRDefault="004C43A6"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227"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3969"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24600E">
        <w:trPr>
          <w:trHeight w:val="540"/>
        </w:trPr>
        <w:tc>
          <w:tcPr>
            <w:tcW w:w="147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18-24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Tr="0024600E">
        <w:trPr>
          <w:trHeight w:val="300"/>
        </w:trPr>
        <w:tc>
          <w:tcPr>
            <w:tcW w:w="147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DF5DCC" w:rsidRDefault="004C43A6" w:rsidP="004F1DAE">
            <w:pPr>
              <w:rPr>
                <w:rFonts w:ascii="Calibri" w:hAnsi="Calibri" w:cs="Calibri"/>
                <w:b/>
                <w:bCs/>
                <w:color w:val="000000"/>
                <w:sz w:val="18"/>
                <w:szCs w:val="18"/>
              </w:rPr>
            </w:pPr>
            <w:r w:rsidRPr="00DF5DCC">
              <w:rPr>
                <w:rFonts w:ascii="Calibri" w:hAnsi="Calibri" w:cs="Calibri"/>
                <w:b/>
                <w:bCs/>
                <w:color w:val="000000"/>
                <w:sz w:val="18"/>
                <w:szCs w:val="18"/>
              </w:rPr>
              <w:t>Underweight</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r>
      <w:tr w:rsidR="004C43A6" w:rsidTr="0024600E">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DF5DCC" w:rsidRDefault="004C43A6" w:rsidP="004F1DAE">
            <w:pPr>
              <w:rPr>
                <w:rFonts w:ascii="Calibri" w:hAnsi="Calibri" w:cs="Calibri"/>
                <w:b/>
                <w:bCs/>
                <w:color w:val="000000"/>
                <w:sz w:val="18"/>
                <w:szCs w:val="18"/>
              </w:rPr>
            </w:pPr>
            <w:r w:rsidRPr="00DF5DCC">
              <w:rPr>
                <w:rFonts w:ascii="Calibri" w:hAnsi="Calibri" w:cs="Calibri"/>
                <w:b/>
                <w:bCs/>
                <w:color w:val="000000"/>
                <w:sz w:val="18"/>
                <w:szCs w:val="18"/>
              </w:rPr>
              <w:t>Normal</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r>
      <w:tr w:rsidR="004C43A6" w:rsidTr="0024600E">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DF5DCC" w:rsidRDefault="004C43A6" w:rsidP="004F1DAE">
            <w:pPr>
              <w:rPr>
                <w:rFonts w:ascii="Calibri" w:hAnsi="Calibri" w:cs="Calibri"/>
                <w:b/>
                <w:bCs/>
                <w:color w:val="000000"/>
                <w:sz w:val="18"/>
                <w:szCs w:val="18"/>
              </w:rPr>
            </w:pPr>
            <w:r w:rsidRPr="00DF5DCC">
              <w:rPr>
                <w:rFonts w:ascii="Calibri" w:hAnsi="Calibri" w:cs="Calibri"/>
                <w:b/>
                <w:bCs/>
                <w:color w:val="000000"/>
                <w:sz w:val="18"/>
                <w:szCs w:val="18"/>
              </w:rPr>
              <w:t>Overweight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r>
      <w:tr w:rsidR="004C43A6" w:rsidTr="0024600E">
        <w:trPr>
          <w:trHeight w:val="300"/>
        </w:trPr>
        <w:tc>
          <w:tcPr>
            <w:tcW w:w="147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DF5DCC" w:rsidRDefault="004C43A6" w:rsidP="004F1DAE">
            <w:pPr>
              <w:rPr>
                <w:rFonts w:ascii="Calibri" w:hAnsi="Calibri" w:cs="Calibri"/>
                <w:b/>
                <w:bCs/>
                <w:color w:val="000000"/>
                <w:sz w:val="18"/>
                <w:szCs w:val="18"/>
              </w:rPr>
            </w:pPr>
            <w:r w:rsidRPr="00DF5DCC">
              <w:rPr>
                <w:rFonts w:ascii="Calibri" w:hAnsi="Calibri" w:cs="Calibri"/>
                <w:b/>
                <w:bCs/>
                <w:color w:val="000000"/>
                <w:sz w:val="18"/>
                <w:szCs w:val="18"/>
              </w:rPr>
              <w:t>Obese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r>
      <w:tr w:rsidR="004C43A6" w:rsidTr="0024600E">
        <w:trPr>
          <w:trHeight w:val="300"/>
        </w:trPr>
        <w:tc>
          <w:tcPr>
            <w:tcW w:w="147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DF5DCC" w:rsidRDefault="004C43A6" w:rsidP="004F1DAE">
            <w:pPr>
              <w:rPr>
                <w:rFonts w:ascii="Calibri" w:hAnsi="Calibri" w:cs="Calibri"/>
                <w:b/>
                <w:bCs/>
                <w:color w:val="000000"/>
                <w:sz w:val="18"/>
                <w:szCs w:val="18"/>
              </w:rPr>
            </w:pPr>
            <w:r w:rsidRPr="00DF5DCC">
              <w:rPr>
                <w:rFonts w:ascii="Calibri" w:hAnsi="Calibri" w:cs="Calibri"/>
                <w:b/>
                <w:bCs/>
                <w:color w:val="000000"/>
                <w:sz w:val="18"/>
                <w:szCs w:val="18"/>
              </w:rPr>
              <w:t>Morbidly Obese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r>
    </w:tbl>
    <w:p w:rsidR="006E301E" w:rsidRDefault="006E301E" w:rsidP="006E301E">
      <w:pPr>
        <w:tabs>
          <w:tab w:val="center" w:pos="4075"/>
        </w:tabs>
        <w:autoSpaceDE w:val="0"/>
        <w:autoSpaceDN w:val="0"/>
        <w:adjustRightInd w:val="0"/>
        <w:rPr>
          <w:rFonts w:asciiTheme="minorHAnsi" w:hAnsiTheme="minorHAnsi" w:cstheme="minorHAnsi"/>
          <w:b/>
          <w:sz w:val="22"/>
          <w:szCs w:val="22"/>
        </w:rPr>
      </w:pPr>
      <w:r w:rsidRPr="00BA5E1E">
        <w:rPr>
          <w:rFonts w:asciiTheme="minorHAnsi" w:hAnsiTheme="minorHAnsi" w:cstheme="minorHAnsi"/>
          <w:sz w:val="22"/>
          <w:szCs w:val="22"/>
        </w:rPr>
        <w:t xml:space="preserve">BMI is calculated by dividing a person’s weight (in kilograms) by the square of their height (in metres).  A BMI </w:t>
      </w:r>
      <w:r>
        <w:rPr>
          <w:rFonts w:asciiTheme="minorHAnsi" w:hAnsiTheme="minorHAnsi" w:cstheme="minorHAnsi"/>
          <w:sz w:val="22"/>
          <w:szCs w:val="22"/>
        </w:rPr>
        <w:t>of less than 20kg/m</w:t>
      </w:r>
      <w:r w:rsidRPr="00F4708A">
        <w:rPr>
          <w:rFonts w:asciiTheme="minorHAnsi" w:hAnsiTheme="minorHAnsi" w:cstheme="minorHAnsi"/>
          <w:sz w:val="22"/>
          <w:szCs w:val="22"/>
          <w:vertAlign w:val="superscript"/>
        </w:rPr>
        <w:t>2</w:t>
      </w:r>
      <w:r>
        <w:rPr>
          <w:rFonts w:asciiTheme="minorHAnsi" w:hAnsiTheme="minorHAnsi" w:cstheme="minorHAnsi"/>
          <w:sz w:val="22"/>
          <w:szCs w:val="22"/>
        </w:rPr>
        <w:t xml:space="preserve"> is considered underweight, while a BMI between 20kg/m</w:t>
      </w:r>
      <w:r w:rsidRPr="00F4708A">
        <w:rPr>
          <w:rFonts w:asciiTheme="minorHAnsi" w:hAnsiTheme="minorHAnsi" w:cstheme="minorHAnsi"/>
          <w:sz w:val="22"/>
          <w:szCs w:val="22"/>
          <w:vertAlign w:val="superscript"/>
        </w:rPr>
        <w:t>2</w:t>
      </w:r>
      <w:r>
        <w:rPr>
          <w:rFonts w:asciiTheme="minorHAnsi" w:hAnsiTheme="minorHAnsi" w:cstheme="minorHAnsi"/>
          <w:sz w:val="22"/>
          <w:szCs w:val="22"/>
        </w:rPr>
        <w:t xml:space="preserve"> and 24.9kg/m</w:t>
      </w:r>
      <w:r w:rsidRPr="00F4708A">
        <w:rPr>
          <w:rFonts w:asciiTheme="minorHAnsi" w:hAnsiTheme="minorHAnsi" w:cstheme="minorHAnsi"/>
          <w:sz w:val="22"/>
          <w:szCs w:val="22"/>
          <w:vertAlign w:val="superscript"/>
        </w:rPr>
        <w:t>2</w:t>
      </w:r>
      <w:r>
        <w:rPr>
          <w:rFonts w:asciiTheme="minorHAnsi" w:hAnsiTheme="minorHAnsi" w:cstheme="minorHAnsi"/>
          <w:sz w:val="22"/>
          <w:szCs w:val="22"/>
        </w:rPr>
        <w:t xml:space="preserve"> is considered normal weight, a BMI </w:t>
      </w:r>
      <w:r w:rsidRPr="00BA5E1E">
        <w:rPr>
          <w:rFonts w:asciiTheme="minorHAnsi" w:hAnsiTheme="minorHAnsi" w:cstheme="minorHAnsi"/>
          <w:sz w:val="22"/>
          <w:szCs w:val="22"/>
        </w:rPr>
        <w:t xml:space="preserve">between </w:t>
      </w:r>
      <w:r>
        <w:rPr>
          <w:rFonts w:asciiTheme="minorHAnsi" w:hAnsiTheme="minorHAnsi" w:cstheme="minorHAnsi"/>
          <w:sz w:val="22"/>
          <w:szCs w:val="22"/>
        </w:rPr>
        <w:t>25kg/m</w:t>
      </w:r>
      <w:r w:rsidRPr="00F4708A">
        <w:rPr>
          <w:rFonts w:asciiTheme="minorHAnsi" w:hAnsiTheme="minorHAnsi" w:cstheme="minorHAnsi"/>
          <w:sz w:val="22"/>
          <w:szCs w:val="22"/>
          <w:vertAlign w:val="superscript"/>
        </w:rPr>
        <w:t>2</w:t>
      </w:r>
      <w:r w:rsidRPr="00BA5E1E">
        <w:rPr>
          <w:rFonts w:asciiTheme="minorHAnsi" w:hAnsiTheme="minorHAnsi" w:cstheme="minorHAnsi"/>
          <w:sz w:val="22"/>
          <w:szCs w:val="22"/>
        </w:rPr>
        <w:t xml:space="preserve"> and 29.9kg/m</w:t>
      </w:r>
      <w:r w:rsidRPr="00F4708A">
        <w:rPr>
          <w:rFonts w:asciiTheme="minorHAnsi" w:hAnsiTheme="minorHAnsi" w:cstheme="minorHAnsi"/>
          <w:sz w:val="22"/>
          <w:szCs w:val="22"/>
          <w:vertAlign w:val="superscript"/>
        </w:rPr>
        <w:t>2</w:t>
      </w:r>
      <w:r w:rsidRPr="00BA5E1E">
        <w:rPr>
          <w:rFonts w:asciiTheme="minorHAnsi" w:hAnsiTheme="minorHAnsi" w:cstheme="minorHAnsi"/>
          <w:sz w:val="22"/>
          <w:szCs w:val="22"/>
        </w:rPr>
        <w:t xml:space="preserve"> is considered overweight</w:t>
      </w:r>
      <w:r>
        <w:rPr>
          <w:rFonts w:asciiTheme="minorHAnsi" w:hAnsiTheme="minorHAnsi" w:cstheme="minorHAnsi"/>
          <w:sz w:val="22"/>
          <w:szCs w:val="22"/>
        </w:rPr>
        <w:t xml:space="preserve">, a BMI </w:t>
      </w:r>
      <w:r w:rsidRPr="00BA5E1E">
        <w:rPr>
          <w:rFonts w:asciiTheme="minorHAnsi" w:hAnsiTheme="minorHAnsi" w:cstheme="minorHAnsi"/>
          <w:sz w:val="22"/>
          <w:szCs w:val="22"/>
        </w:rPr>
        <w:t xml:space="preserve">between </w:t>
      </w:r>
      <w:r>
        <w:rPr>
          <w:rFonts w:asciiTheme="minorHAnsi" w:hAnsiTheme="minorHAnsi" w:cstheme="minorHAnsi"/>
          <w:sz w:val="22"/>
          <w:szCs w:val="22"/>
        </w:rPr>
        <w:t>30kg/m</w:t>
      </w:r>
      <w:r w:rsidRPr="00F4708A">
        <w:rPr>
          <w:rFonts w:asciiTheme="minorHAnsi" w:hAnsiTheme="minorHAnsi" w:cstheme="minorHAnsi"/>
          <w:sz w:val="22"/>
          <w:szCs w:val="22"/>
          <w:vertAlign w:val="superscript"/>
        </w:rPr>
        <w:t>2</w:t>
      </w:r>
      <w:r w:rsidRPr="00BA5E1E">
        <w:rPr>
          <w:rFonts w:asciiTheme="minorHAnsi" w:hAnsiTheme="minorHAnsi" w:cstheme="minorHAnsi"/>
          <w:sz w:val="22"/>
          <w:szCs w:val="22"/>
        </w:rPr>
        <w:t xml:space="preserve"> and </w:t>
      </w:r>
      <w:r>
        <w:rPr>
          <w:rFonts w:asciiTheme="minorHAnsi" w:hAnsiTheme="minorHAnsi" w:cstheme="minorHAnsi"/>
          <w:sz w:val="22"/>
          <w:szCs w:val="22"/>
        </w:rPr>
        <w:t>3</w:t>
      </w:r>
      <w:r w:rsidRPr="00BA5E1E">
        <w:rPr>
          <w:rFonts w:asciiTheme="minorHAnsi" w:hAnsiTheme="minorHAnsi" w:cstheme="minorHAnsi"/>
          <w:sz w:val="22"/>
          <w:szCs w:val="22"/>
        </w:rPr>
        <w:t>9.9kg/m</w:t>
      </w:r>
      <w:r w:rsidRPr="00F4708A">
        <w:rPr>
          <w:rFonts w:asciiTheme="minorHAnsi" w:hAnsiTheme="minorHAnsi" w:cstheme="minorHAnsi"/>
          <w:sz w:val="22"/>
          <w:szCs w:val="22"/>
          <w:vertAlign w:val="superscript"/>
        </w:rPr>
        <w:t>2</w:t>
      </w:r>
      <w:r w:rsidRPr="00BA5E1E">
        <w:rPr>
          <w:rFonts w:asciiTheme="minorHAnsi" w:hAnsiTheme="minorHAnsi" w:cstheme="minorHAnsi"/>
          <w:sz w:val="22"/>
          <w:szCs w:val="22"/>
        </w:rPr>
        <w:t xml:space="preserve"> is considered o</w:t>
      </w:r>
      <w:r>
        <w:rPr>
          <w:rFonts w:asciiTheme="minorHAnsi" w:hAnsiTheme="minorHAnsi" w:cstheme="minorHAnsi"/>
          <w:sz w:val="22"/>
          <w:szCs w:val="22"/>
        </w:rPr>
        <w:t>bese</w:t>
      </w:r>
      <w:r w:rsidRPr="00BA5E1E">
        <w:rPr>
          <w:rFonts w:asciiTheme="minorHAnsi" w:hAnsiTheme="minorHAnsi" w:cstheme="minorHAnsi"/>
          <w:sz w:val="22"/>
          <w:szCs w:val="22"/>
        </w:rPr>
        <w:t xml:space="preserve"> and a BMI of </w:t>
      </w:r>
      <w:r>
        <w:rPr>
          <w:rFonts w:asciiTheme="minorHAnsi" w:hAnsiTheme="minorHAnsi" w:cstheme="minorHAnsi"/>
          <w:sz w:val="22"/>
          <w:szCs w:val="22"/>
        </w:rPr>
        <w:t>4</w:t>
      </w:r>
      <w:r w:rsidRPr="00BA5E1E">
        <w:rPr>
          <w:rFonts w:asciiTheme="minorHAnsi" w:hAnsiTheme="minorHAnsi" w:cstheme="minorHAnsi"/>
          <w:sz w:val="22"/>
          <w:szCs w:val="22"/>
        </w:rPr>
        <w:t>0kg/m</w:t>
      </w:r>
      <w:r w:rsidRPr="00F4708A">
        <w:rPr>
          <w:rFonts w:asciiTheme="minorHAnsi" w:hAnsiTheme="minorHAnsi" w:cstheme="minorHAnsi"/>
          <w:sz w:val="22"/>
          <w:szCs w:val="22"/>
          <w:vertAlign w:val="superscript"/>
        </w:rPr>
        <w:t>2</w:t>
      </w:r>
      <w:r w:rsidRPr="00BA5E1E">
        <w:rPr>
          <w:rFonts w:asciiTheme="minorHAnsi" w:hAnsiTheme="minorHAnsi" w:cstheme="minorHAnsi"/>
          <w:sz w:val="22"/>
          <w:szCs w:val="22"/>
        </w:rPr>
        <w:t xml:space="preserve"> or above is considered </w:t>
      </w:r>
      <w:r>
        <w:rPr>
          <w:rFonts w:asciiTheme="minorHAnsi" w:hAnsiTheme="minorHAnsi" w:cstheme="minorHAnsi"/>
          <w:sz w:val="22"/>
          <w:szCs w:val="22"/>
        </w:rPr>
        <w:t xml:space="preserve">morbidly </w:t>
      </w:r>
      <w:r w:rsidRPr="00BA5E1E">
        <w:rPr>
          <w:rFonts w:asciiTheme="minorHAnsi" w:hAnsiTheme="minorHAnsi" w:cstheme="minorHAnsi"/>
          <w:sz w:val="22"/>
          <w:szCs w:val="22"/>
        </w:rPr>
        <w:t>obese.</w:t>
      </w:r>
    </w:p>
    <w:p w:rsidR="004C43A6" w:rsidRDefault="004C43A6" w:rsidP="004C43A6">
      <w:pPr>
        <w:tabs>
          <w:tab w:val="center" w:pos="4075"/>
        </w:tabs>
        <w:autoSpaceDE w:val="0"/>
        <w:autoSpaceDN w:val="0"/>
        <w:adjustRightInd w:val="0"/>
        <w:rPr>
          <w:rFonts w:ascii="Calibri" w:hAnsi="Calibri" w:cs="Calibri"/>
          <w:b/>
          <w:color w:val="000000"/>
          <w:sz w:val="22"/>
          <w:szCs w:val="22"/>
          <w:lang w:eastAsia="en-GB"/>
        </w:rPr>
      </w:pPr>
    </w:p>
    <w:p w:rsidR="00743E5F" w:rsidRDefault="00743E5F" w:rsidP="004C43A6">
      <w:pPr>
        <w:tabs>
          <w:tab w:val="center" w:pos="4075"/>
        </w:tabs>
        <w:autoSpaceDE w:val="0"/>
        <w:autoSpaceDN w:val="0"/>
        <w:adjustRightInd w:val="0"/>
        <w:rPr>
          <w:rFonts w:ascii="Calibri" w:hAnsi="Calibri" w:cs="Calibri"/>
          <w:b/>
          <w:color w:val="000000"/>
          <w:sz w:val="22"/>
          <w:szCs w:val="22"/>
          <w:lang w:eastAsia="en-GB"/>
        </w:rPr>
      </w:pPr>
    </w:p>
    <w:p w:rsidR="004C43A6" w:rsidRPr="00AC756F" w:rsidRDefault="004C43A6" w:rsidP="00AC756F">
      <w:pPr>
        <w:pStyle w:val="Heading3"/>
        <w:spacing w:before="0"/>
        <w:rPr>
          <w:rFonts w:asciiTheme="minorHAnsi" w:hAnsiTheme="minorHAnsi" w:cstheme="minorHAnsi"/>
          <w:color w:val="auto"/>
          <w:sz w:val="22"/>
          <w:szCs w:val="22"/>
        </w:rPr>
      </w:pPr>
      <w:bookmarkStart w:id="78" w:name="_Ref381946686"/>
      <w:r w:rsidRPr="00AC756F">
        <w:rPr>
          <w:rFonts w:asciiTheme="minorHAnsi" w:hAnsiTheme="minorHAnsi" w:cstheme="minorHAnsi"/>
          <w:color w:val="auto"/>
          <w:sz w:val="22"/>
          <w:szCs w:val="22"/>
        </w:rPr>
        <w:t>Physical Activity – A</w:t>
      </w:r>
      <w:r w:rsidR="006974DA" w:rsidRPr="00AC756F">
        <w:rPr>
          <w:rFonts w:asciiTheme="minorHAnsi" w:hAnsiTheme="minorHAnsi" w:cstheme="minorHAnsi"/>
          <w:color w:val="auto"/>
          <w:sz w:val="22"/>
          <w:szCs w:val="22"/>
        </w:rPr>
        <w:t>mount of physical exercise undertaken per week for a</w:t>
      </w:r>
      <w:r w:rsidRPr="00AC756F">
        <w:rPr>
          <w:rFonts w:asciiTheme="minorHAnsi" w:hAnsiTheme="minorHAnsi" w:cstheme="minorHAnsi"/>
          <w:color w:val="auto"/>
          <w:sz w:val="22"/>
          <w:szCs w:val="22"/>
        </w:rPr>
        <w:t>ll respondents aged 19 and over</w:t>
      </w:r>
      <w:bookmarkEnd w:id="78"/>
    </w:p>
    <w:tbl>
      <w:tblPr>
        <w:tblW w:w="15652"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60"/>
        <w:gridCol w:w="467"/>
        <w:gridCol w:w="467"/>
        <w:gridCol w:w="467"/>
        <w:gridCol w:w="467"/>
        <w:gridCol w:w="440"/>
        <w:gridCol w:w="440"/>
      </w:tblGrid>
      <w:tr w:rsidR="004C43A6" w:rsidRPr="00EB5B0E" w:rsidTr="0024600E">
        <w:trPr>
          <w:trHeight w:val="170"/>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BE1A84" w:rsidRDefault="004C43A6"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1E81" w:rsidRDefault="004C43A6"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20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24600E">
        <w:trPr>
          <w:trHeight w:val="340"/>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E2A30" w:rsidRDefault="004C43A6" w:rsidP="004F1DAE">
            <w:pPr>
              <w:rPr>
                <w:rFonts w:ascii="Calibri" w:hAnsi="Calibri" w:cs="Calibri"/>
                <w:b/>
                <w:bCs/>
                <w:color w:val="000000"/>
                <w:sz w:val="18"/>
                <w:szCs w:val="18"/>
                <w:lang w:eastAsia="en-GB"/>
              </w:rPr>
            </w:pPr>
            <w:r w:rsidRPr="004E2A30">
              <w:rPr>
                <w:rFonts w:ascii="Calibri" w:hAnsi="Calibri" w:cs="Calibri"/>
                <w:b/>
                <w:bCs/>
                <w:color w:val="000000"/>
                <w:sz w:val="18"/>
                <w:szCs w:val="18"/>
                <w:lang w:eastAsia="en-GB"/>
              </w:rPr>
              <w:t>Least Deprived</w:t>
            </w:r>
          </w:p>
        </w:tc>
        <w:tc>
          <w:tcPr>
            <w:tcW w:w="467"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19-24</w:t>
            </w:r>
          </w:p>
        </w:tc>
        <w:tc>
          <w:tcPr>
            <w:tcW w:w="4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25-34</w:t>
            </w:r>
          </w:p>
        </w:tc>
        <w:tc>
          <w:tcPr>
            <w:tcW w:w="4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35-44</w:t>
            </w:r>
          </w:p>
        </w:tc>
        <w:tc>
          <w:tcPr>
            <w:tcW w:w="4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45-54</w:t>
            </w:r>
          </w:p>
        </w:tc>
        <w:tc>
          <w:tcPr>
            <w:tcW w:w="467"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Pr="004E2A30" w:rsidRDefault="004C43A6" w:rsidP="004F1DAE">
            <w:pPr>
              <w:rPr>
                <w:rFonts w:ascii="Calibri" w:hAnsi="Calibri" w:cs="Calibri"/>
                <w:b/>
                <w:bCs/>
                <w:color w:val="000000"/>
                <w:sz w:val="18"/>
                <w:szCs w:val="18"/>
              </w:rPr>
            </w:pPr>
            <w:r w:rsidRPr="004E2A30">
              <w:rPr>
                <w:rFonts w:ascii="Calibri" w:hAnsi="Calibri" w:cs="Calibri"/>
                <w:b/>
                <w:bCs/>
                <w:color w:val="000000"/>
                <w:sz w:val="18"/>
                <w:szCs w:val="18"/>
              </w:rPr>
              <w:t>75+</w:t>
            </w:r>
          </w:p>
        </w:tc>
      </w:tr>
      <w:tr w:rsidR="004C43A6" w:rsidTr="0024600E">
        <w:trPr>
          <w:trHeight w:val="170"/>
        </w:trPr>
        <w:tc>
          <w:tcPr>
            <w:tcW w:w="1565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E241EA" w:rsidRDefault="004C43A6" w:rsidP="004F1DAE">
            <w:pPr>
              <w:rPr>
                <w:rFonts w:ascii="Calibri" w:hAnsi="Calibri" w:cs="Calibri"/>
                <w:color w:val="000000"/>
              </w:rPr>
            </w:pPr>
            <w:r w:rsidRPr="00E241EA">
              <w:rPr>
                <w:rFonts w:ascii="Calibri" w:hAnsi="Calibri" w:cs="Calibri"/>
                <w:b/>
                <w:bCs/>
                <w:color w:val="000000"/>
              </w:rPr>
              <w:t>All respondents aged over 19</w:t>
            </w:r>
          </w:p>
        </w:tc>
      </w:tr>
      <w:tr w:rsidR="004C43A6" w:rsidTr="0024600E">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 xml:space="preserve">Less than 30 minutes </w:t>
            </w:r>
            <w:r w:rsidR="004F1DAE">
              <w:rPr>
                <w:rFonts w:ascii="Calibri" w:hAnsi="Calibri" w:cs="Calibri"/>
                <w:b/>
                <w:bCs/>
                <w:color w:val="000000"/>
                <w:sz w:val="18"/>
                <w:szCs w:val="18"/>
              </w:rPr>
              <w:t xml:space="preserve">of exercise </w:t>
            </w:r>
            <w:r w:rsidRPr="00E241EA">
              <w:rPr>
                <w:rFonts w:ascii="Calibri" w:hAnsi="Calibri" w:cs="Calibri"/>
                <w:b/>
                <w:bCs/>
                <w:color w:val="000000"/>
                <w:sz w:val="18"/>
                <w:szCs w:val="18"/>
              </w:rPr>
              <w:t>per week</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22</w:t>
            </w:r>
          </w:p>
        </w:tc>
        <w:tc>
          <w:tcPr>
            <w:tcW w:w="467"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12</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24</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45</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73</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30-59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8</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60-149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r>
      <w:tr w:rsidR="004C43A6" w:rsidTr="0024600E">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Pr>
                <w:rFonts w:ascii="Calibri" w:hAnsi="Calibri" w:cs="Calibri"/>
                <w:b/>
                <w:bCs/>
                <w:color w:val="000000"/>
                <w:sz w:val="18"/>
                <w:szCs w:val="18"/>
              </w:rPr>
              <w:t xml:space="preserve">Meets recommendations of at least </w:t>
            </w:r>
            <w:r w:rsidR="004C43A6" w:rsidRPr="00E241EA">
              <w:rPr>
                <w:rFonts w:ascii="Calibri" w:hAnsi="Calibri" w:cs="Calibri"/>
                <w:b/>
                <w:bCs/>
                <w:color w:val="000000"/>
                <w:sz w:val="18"/>
                <w:szCs w:val="18"/>
              </w:rPr>
              <w:t xml:space="preserve">150 minutes </w:t>
            </w:r>
            <w:r>
              <w:rPr>
                <w:rFonts w:ascii="Calibri" w:hAnsi="Calibri" w:cs="Calibri"/>
                <w:b/>
                <w:bCs/>
                <w:color w:val="000000"/>
                <w:sz w:val="18"/>
                <w:szCs w:val="18"/>
              </w:rPr>
              <w:t>per w</w:t>
            </w:r>
            <w:r w:rsidR="004C43A6" w:rsidRPr="00E241EA">
              <w:rPr>
                <w:rFonts w:ascii="Calibri" w:hAnsi="Calibri" w:cs="Calibri"/>
                <w:b/>
                <w:bCs/>
                <w:color w:val="000000"/>
                <w:sz w:val="18"/>
                <w:szCs w:val="18"/>
              </w:rPr>
              <w:t>k</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53</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49</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55</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56</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54</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467"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64</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67</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65</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36</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12</w:t>
            </w:r>
          </w:p>
        </w:tc>
      </w:tr>
      <w:tr w:rsidR="004C43A6" w:rsidTr="0024600E">
        <w:trPr>
          <w:trHeight w:val="170"/>
        </w:trPr>
        <w:tc>
          <w:tcPr>
            <w:tcW w:w="1565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4E2A30" w:rsidRDefault="004C43A6" w:rsidP="00977928">
            <w:pPr>
              <w:jc w:val="left"/>
              <w:rPr>
                <w:rFonts w:ascii="Calibri" w:hAnsi="Calibri" w:cs="Calibri"/>
                <w:color w:val="000000"/>
              </w:rPr>
            </w:pPr>
            <w:r w:rsidRPr="004E2A30">
              <w:rPr>
                <w:rFonts w:ascii="Calibri" w:hAnsi="Calibri" w:cs="Calibri"/>
                <w:b/>
                <w:bCs/>
                <w:color w:val="000000"/>
              </w:rPr>
              <w:t xml:space="preserve">All respondents aged over 19 who are classed as Obese </w:t>
            </w:r>
          </w:p>
        </w:tc>
      </w:tr>
      <w:tr w:rsidR="004C43A6" w:rsidTr="0024600E">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sidRPr="00E241EA">
              <w:rPr>
                <w:rFonts w:ascii="Calibri" w:hAnsi="Calibri" w:cs="Calibri"/>
                <w:b/>
                <w:bCs/>
                <w:color w:val="000000"/>
                <w:sz w:val="18"/>
                <w:szCs w:val="18"/>
              </w:rPr>
              <w:t xml:space="preserve">Less than 30 minutes </w:t>
            </w:r>
            <w:r>
              <w:rPr>
                <w:rFonts w:ascii="Calibri" w:hAnsi="Calibri" w:cs="Calibri"/>
                <w:b/>
                <w:bCs/>
                <w:color w:val="000000"/>
                <w:sz w:val="18"/>
                <w:szCs w:val="18"/>
              </w:rPr>
              <w:t xml:space="preserve">of exercise </w:t>
            </w:r>
            <w:r w:rsidRPr="00E241EA">
              <w:rPr>
                <w:rFonts w:ascii="Calibri" w:hAnsi="Calibri" w:cs="Calibri"/>
                <w:b/>
                <w:bCs/>
                <w:color w:val="000000"/>
                <w:sz w:val="18"/>
                <w:szCs w:val="18"/>
              </w:rPr>
              <w:t>per week</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28</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28</w:t>
            </w:r>
          </w:p>
        </w:tc>
        <w:tc>
          <w:tcPr>
            <w:tcW w:w="467"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31</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9</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26</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30</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61</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30-59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60-149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20</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11</w:t>
            </w:r>
          </w:p>
        </w:tc>
      </w:tr>
      <w:tr w:rsidR="004C43A6" w:rsidTr="0024600E">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Pr>
                <w:rFonts w:ascii="Calibri" w:hAnsi="Calibri" w:cs="Calibri"/>
                <w:b/>
                <w:bCs/>
                <w:color w:val="000000"/>
                <w:sz w:val="18"/>
                <w:szCs w:val="18"/>
              </w:rPr>
              <w:t xml:space="preserve">Meets recommendations of at least </w:t>
            </w:r>
            <w:r w:rsidRPr="00E241EA">
              <w:rPr>
                <w:rFonts w:ascii="Calibri" w:hAnsi="Calibri" w:cs="Calibri"/>
                <w:b/>
                <w:bCs/>
                <w:color w:val="000000"/>
                <w:sz w:val="18"/>
                <w:szCs w:val="18"/>
              </w:rPr>
              <w:t xml:space="preserve">150 minutes </w:t>
            </w:r>
            <w:r>
              <w:rPr>
                <w:rFonts w:ascii="Calibri" w:hAnsi="Calibri" w:cs="Calibri"/>
                <w:b/>
                <w:bCs/>
                <w:color w:val="000000"/>
                <w:sz w:val="18"/>
                <w:szCs w:val="18"/>
              </w:rPr>
              <w:t>per w</w:t>
            </w:r>
            <w:r w:rsidRPr="00E241EA">
              <w:rPr>
                <w:rFonts w:ascii="Calibri" w:hAnsi="Calibri" w:cs="Calibri"/>
                <w:b/>
                <w:bCs/>
                <w:color w:val="000000"/>
                <w:sz w:val="18"/>
                <w:szCs w:val="18"/>
              </w:rPr>
              <w:t>k</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46</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46</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44</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54</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49</w:t>
            </w:r>
          </w:p>
        </w:tc>
        <w:tc>
          <w:tcPr>
            <w:tcW w:w="467"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47</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71</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51</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53</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32</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21</w:t>
            </w:r>
          </w:p>
        </w:tc>
      </w:tr>
      <w:tr w:rsidR="004C43A6" w:rsidTr="0024600E">
        <w:trPr>
          <w:trHeight w:val="170"/>
        </w:trPr>
        <w:tc>
          <w:tcPr>
            <w:tcW w:w="1565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4E2A30" w:rsidRDefault="004C43A6" w:rsidP="00977928">
            <w:pPr>
              <w:jc w:val="left"/>
              <w:rPr>
                <w:rFonts w:ascii="Calibri" w:hAnsi="Calibri" w:cs="Calibri"/>
                <w:color w:val="000000"/>
              </w:rPr>
            </w:pPr>
            <w:r w:rsidRPr="004E2A30">
              <w:rPr>
                <w:rFonts w:ascii="Calibri" w:hAnsi="Calibri" w:cs="Calibri"/>
                <w:b/>
                <w:bCs/>
                <w:color w:val="000000"/>
              </w:rPr>
              <w:t xml:space="preserve">All respondents aged over 19 who are classed as Overweight </w:t>
            </w:r>
          </w:p>
        </w:tc>
      </w:tr>
      <w:tr w:rsidR="004C43A6" w:rsidTr="0024600E">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sidRPr="00E241EA">
              <w:rPr>
                <w:rFonts w:ascii="Calibri" w:hAnsi="Calibri" w:cs="Calibri"/>
                <w:b/>
                <w:bCs/>
                <w:color w:val="000000"/>
                <w:sz w:val="18"/>
                <w:szCs w:val="18"/>
              </w:rPr>
              <w:t xml:space="preserve">Less than 30 minutes </w:t>
            </w:r>
            <w:r>
              <w:rPr>
                <w:rFonts w:ascii="Calibri" w:hAnsi="Calibri" w:cs="Calibri"/>
                <w:b/>
                <w:bCs/>
                <w:color w:val="000000"/>
                <w:sz w:val="18"/>
                <w:szCs w:val="18"/>
              </w:rPr>
              <w:t xml:space="preserve">of exercise </w:t>
            </w:r>
            <w:r w:rsidRPr="00E241EA">
              <w:rPr>
                <w:rFonts w:ascii="Calibri" w:hAnsi="Calibri" w:cs="Calibri"/>
                <w:b/>
                <w:bCs/>
                <w:color w:val="000000"/>
                <w:sz w:val="18"/>
                <w:szCs w:val="18"/>
              </w:rPr>
              <w:t>per week</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67"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66</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30-59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 xml:space="preserve"> 0</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60-149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10</w:t>
            </w:r>
          </w:p>
        </w:tc>
      </w:tr>
      <w:tr w:rsidR="004C43A6" w:rsidTr="0024600E">
        <w:trPr>
          <w:trHeight w:val="170"/>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Pr>
                <w:rFonts w:ascii="Calibri" w:hAnsi="Calibri" w:cs="Calibri"/>
                <w:b/>
                <w:bCs/>
                <w:color w:val="000000"/>
                <w:sz w:val="18"/>
                <w:szCs w:val="18"/>
              </w:rPr>
              <w:t xml:space="preserve">Meets recommendations of at least </w:t>
            </w:r>
            <w:r w:rsidRPr="00E241EA">
              <w:rPr>
                <w:rFonts w:ascii="Calibri" w:hAnsi="Calibri" w:cs="Calibri"/>
                <w:b/>
                <w:bCs/>
                <w:color w:val="000000"/>
                <w:sz w:val="18"/>
                <w:szCs w:val="18"/>
              </w:rPr>
              <w:t xml:space="preserve">150 minutes </w:t>
            </w:r>
            <w:r>
              <w:rPr>
                <w:rFonts w:ascii="Calibri" w:hAnsi="Calibri" w:cs="Calibri"/>
                <w:b/>
                <w:bCs/>
                <w:color w:val="000000"/>
                <w:sz w:val="18"/>
                <w:szCs w:val="18"/>
              </w:rPr>
              <w:t>per w</w:t>
            </w:r>
            <w:r w:rsidRPr="00E241EA">
              <w:rPr>
                <w:rFonts w:ascii="Calibri" w:hAnsi="Calibri" w:cs="Calibri"/>
                <w:b/>
                <w:bCs/>
                <w:color w:val="000000"/>
                <w:sz w:val="18"/>
                <w:szCs w:val="18"/>
              </w:rPr>
              <w:t>k</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60</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56</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58</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61</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66</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67</w:t>
            </w:r>
          </w:p>
        </w:tc>
        <w:tc>
          <w:tcPr>
            <w:tcW w:w="467"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70</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73</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73</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67</w:t>
            </w:r>
          </w:p>
        </w:tc>
        <w:tc>
          <w:tcPr>
            <w:tcW w:w="467"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43</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r>
      <w:tr w:rsidR="004C43A6" w:rsidTr="0024600E">
        <w:trPr>
          <w:trHeight w:val="170"/>
        </w:trPr>
        <w:tc>
          <w:tcPr>
            <w:tcW w:w="15652"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4E2A30" w:rsidRDefault="004C43A6" w:rsidP="00977928">
            <w:pPr>
              <w:jc w:val="left"/>
              <w:rPr>
                <w:rFonts w:ascii="Calibri" w:hAnsi="Calibri" w:cs="Calibri"/>
                <w:color w:val="000000"/>
              </w:rPr>
            </w:pPr>
            <w:r w:rsidRPr="004E2A30">
              <w:rPr>
                <w:rFonts w:ascii="Calibri" w:hAnsi="Calibri" w:cs="Calibri"/>
                <w:b/>
                <w:bCs/>
                <w:color w:val="000000"/>
              </w:rPr>
              <w:t xml:space="preserve">All respondents aged over 19 who are classed as Normal weight or Underweight </w:t>
            </w:r>
          </w:p>
        </w:tc>
      </w:tr>
      <w:tr w:rsidR="004C43A6" w:rsidTr="0024600E">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sidRPr="00E241EA">
              <w:rPr>
                <w:rFonts w:ascii="Calibri" w:hAnsi="Calibri" w:cs="Calibri"/>
                <w:b/>
                <w:bCs/>
                <w:color w:val="000000"/>
                <w:sz w:val="18"/>
                <w:szCs w:val="18"/>
              </w:rPr>
              <w:t xml:space="preserve">Less than 30 minutes </w:t>
            </w:r>
            <w:r>
              <w:rPr>
                <w:rFonts w:ascii="Calibri" w:hAnsi="Calibri" w:cs="Calibri"/>
                <w:b/>
                <w:bCs/>
                <w:color w:val="000000"/>
                <w:sz w:val="18"/>
                <w:szCs w:val="18"/>
              </w:rPr>
              <w:t xml:space="preserve">of exercise </w:t>
            </w:r>
            <w:r w:rsidRPr="00E241EA">
              <w:rPr>
                <w:rFonts w:ascii="Calibri" w:hAnsi="Calibri" w:cs="Calibri"/>
                <w:b/>
                <w:bCs/>
                <w:color w:val="000000"/>
                <w:sz w:val="18"/>
                <w:szCs w:val="18"/>
              </w:rPr>
              <w:t>per week</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11</w:t>
            </w:r>
          </w:p>
        </w:tc>
        <w:tc>
          <w:tcPr>
            <w:tcW w:w="467"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9</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9</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19</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33</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61</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30-59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2</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11</w:t>
            </w:r>
          </w:p>
        </w:tc>
      </w:tr>
      <w:tr w:rsidR="004C43A6"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C43A6" w:rsidP="00977928">
            <w:pPr>
              <w:jc w:val="left"/>
              <w:rPr>
                <w:rFonts w:ascii="Calibri" w:hAnsi="Calibri" w:cs="Calibri"/>
                <w:b/>
                <w:bCs/>
                <w:color w:val="000000"/>
                <w:sz w:val="18"/>
                <w:szCs w:val="18"/>
              </w:rPr>
            </w:pPr>
            <w:r w:rsidRPr="00E241EA">
              <w:rPr>
                <w:rFonts w:ascii="Calibri" w:hAnsi="Calibri" w:cs="Calibri"/>
                <w:b/>
                <w:bCs/>
                <w:color w:val="000000"/>
                <w:sz w:val="18"/>
                <w:szCs w:val="18"/>
              </w:rPr>
              <w:t>60-149 minutes per week</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11</w:t>
            </w:r>
          </w:p>
        </w:tc>
      </w:tr>
      <w:tr w:rsidR="004C43A6" w:rsidTr="0024600E">
        <w:trPr>
          <w:trHeight w:val="170"/>
        </w:trPr>
        <w:tc>
          <w:tcPr>
            <w:tcW w:w="2210" w:type="dxa"/>
            <w:tcBorders>
              <w:top w:val="single" w:sz="4" w:space="0" w:color="auto"/>
              <w:left w:val="single" w:sz="12" w:space="0" w:color="auto"/>
              <w:bottom w:val="single" w:sz="18" w:space="0" w:color="auto"/>
              <w:right w:val="single" w:sz="12" w:space="0" w:color="auto"/>
            </w:tcBorders>
            <w:shd w:val="clear" w:color="auto" w:fill="A6A6A6" w:themeFill="background1" w:themeFillShade="A6"/>
            <w:noWrap/>
            <w:tcMar>
              <w:left w:w="57" w:type="dxa"/>
              <w:right w:w="57" w:type="dxa"/>
            </w:tcMar>
            <w:vAlign w:val="bottom"/>
            <w:hideMark/>
          </w:tcPr>
          <w:p w:rsidR="004C43A6" w:rsidRPr="00E241EA" w:rsidRDefault="004F1DAE" w:rsidP="00977928">
            <w:pPr>
              <w:jc w:val="left"/>
              <w:rPr>
                <w:rFonts w:ascii="Calibri" w:hAnsi="Calibri" w:cs="Calibri"/>
                <w:b/>
                <w:bCs/>
                <w:color w:val="000000"/>
                <w:sz w:val="18"/>
                <w:szCs w:val="18"/>
              </w:rPr>
            </w:pPr>
            <w:r>
              <w:rPr>
                <w:rFonts w:ascii="Calibri" w:hAnsi="Calibri" w:cs="Calibri"/>
                <w:b/>
                <w:bCs/>
                <w:color w:val="000000"/>
                <w:sz w:val="18"/>
                <w:szCs w:val="18"/>
              </w:rPr>
              <w:t xml:space="preserve">Meets recommendations of at least </w:t>
            </w:r>
            <w:r w:rsidRPr="00E241EA">
              <w:rPr>
                <w:rFonts w:ascii="Calibri" w:hAnsi="Calibri" w:cs="Calibri"/>
                <w:b/>
                <w:bCs/>
                <w:color w:val="000000"/>
                <w:sz w:val="18"/>
                <w:szCs w:val="18"/>
              </w:rPr>
              <w:t xml:space="preserve">150 minutes </w:t>
            </w:r>
            <w:r>
              <w:rPr>
                <w:rFonts w:ascii="Calibri" w:hAnsi="Calibri" w:cs="Calibri"/>
                <w:b/>
                <w:bCs/>
                <w:color w:val="000000"/>
                <w:sz w:val="18"/>
                <w:szCs w:val="18"/>
              </w:rPr>
              <w:t>per w</w:t>
            </w:r>
            <w:r w:rsidRPr="00E241EA">
              <w:rPr>
                <w:rFonts w:ascii="Calibri" w:hAnsi="Calibri" w:cs="Calibri"/>
                <w:b/>
                <w:bCs/>
                <w:color w:val="000000"/>
                <w:sz w:val="18"/>
                <w:szCs w:val="18"/>
              </w:rPr>
              <w:t>k</w:t>
            </w:r>
          </w:p>
        </w:tc>
        <w:tc>
          <w:tcPr>
            <w:tcW w:w="713" w:type="dxa"/>
            <w:tcBorders>
              <w:top w:val="single" w:sz="4" w:space="0" w:color="auto"/>
              <w:left w:val="single" w:sz="12" w:space="0" w:color="auto"/>
              <w:bottom w:val="single" w:sz="18"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62</w:t>
            </w:r>
          </w:p>
        </w:tc>
        <w:tc>
          <w:tcPr>
            <w:tcW w:w="538" w:type="dxa"/>
            <w:tcBorders>
              <w:top w:val="single" w:sz="4" w:space="0" w:color="auto"/>
              <w:left w:val="single" w:sz="12" w:space="0" w:color="auto"/>
              <w:bottom w:val="single" w:sz="18"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68</w:t>
            </w:r>
          </w:p>
        </w:tc>
        <w:tc>
          <w:tcPr>
            <w:tcW w:w="718" w:type="dxa"/>
            <w:tcBorders>
              <w:top w:val="single" w:sz="4" w:space="0" w:color="auto"/>
              <w:left w:val="nil"/>
              <w:bottom w:val="single" w:sz="18"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630" w:type="dxa"/>
            <w:tcBorders>
              <w:top w:val="single" w:sz="4" w:space="0" w:color="auto"/>
              <w:left w:val="single" w:sz="12" w:space="0" w:color="auto"/>
              <w:bottom w:val="single" w:sz="18"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62</w:t>
            </w:r>
          </w:p>
        </w:tc>
        <w:tc>
          <w:tcPr>
            <w:tcW w:w="553" w:type="dxa"/>
            <w:tcBorders>
              <w:top w:val="single" w:sz="4" w:space="0" w:color="auto"/>
              <w:left w:val="nil"/>
              <w:bottom w:val="single" w:sz="18"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688" w:type="dxa"/>
            <w:tcBorders>
              <w:top w:val="single" w:sz="4" w:space="0" w:color="auto"/>
              <w:left w:val="single" w:sz="12" w:space="0" w:color="auto"/>
              <w:bottom w:val="single" w:sz="18"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65</w:t>
            </w:r>
          </w:p>
        </w:tc>
        <w:tc>
          <w:tcPr>
            <w:tcW w:w="881"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739"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880"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59</w:t>
            </w:r>
          </w:p>
        </w:tc>
        <w:tc>
          <w:tcPr>
            <w:tcW w:w="825" w:type="dxa"/>
            <w:tcBorders>
              <w:top w:val="single" w:sz="4" w:space="0" w:color="auto"/>
              <w:left w:val="nil"/>
              <w:bottom w:val="single" w:sz="18" w:space="0" w:color="auto"/>
              <w:right w:val="single" w:sz="12" w:space="0" w:color="auto"/>
            </w:tcBorders>
            <w:shd w:val="clear" w:color="auto" w:fill="D9D9D9" w:themeFill="background1" w:themeFillShade="D9"/>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60</w:t>
            </w:r>
          </w:p>
        </w:tc>
        <w:tc>
          <w:tcPr>
            <w:tcW w:w="871" w:type="dxa"/>
            <w:gridSpan w:val="2"/>
            <w:tcBorders>
              <w:top w:val="single" w:sz="4" w:space="0" w:color="auto"/>
              <w:left w:val="single" w:sz="12" w:space="0" w:color="auto"/>
              <w:bottom w:val="single" w:sz="18"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58</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54</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66</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871" w:type="dxa"/>
            <w:tcBorders>
              <w:top w:val="single" w:sz="4" w:space="0" w:color="auto"/>
              <w:left w:val="nil"/>
              <w:bottom w:val="single" w:sz="18" w:space="0" w:color="auto"/>
              <w:right w:val="single" w:sz="12" w:space="0" w:color="auto"/>
            </w:tcBorders>
            <w:shd w:val="clear" w:color="auto" w:fill="F2F2F2" w:themeFill="background1" w:themeFillShade="F2"/>
            <w:noWrap/>
            <w:vAlign w:val="bottom"/>
            <w:hideMark/>
          </w:tcPr>
          <w:p w:rsidR="004C43A6" w:rsidRPr="004E2A30" w:rsidRDefault="004C43A6" w:rsidP="004F1DAE">
            <w:pPr>
              <w:jc w:val="right"/>
              <w:rPr>
                <w:rFonts w:ascii="Calibri" w:hAnsi="Calibri" w:cs="Calibri"/>
                <w:color w:val="000000"/>
              </w:rPr>
            </w:pPr>
            <w:r w:rsidRPr="004E2A30">
              <w:rPr>
                <w:rFonts w:ascii="Calibri" w:hAnsi="Calibri" w:cs="Calibri"/>
                <w:color w:val="000000"/>
              </w:rPr>
              <w:t>70</w:t>
            </w:r>
          </w:p>
        </w:tc>
        <w:tc>
          <w:tcPr>
            <w:tcW w:w="467" w:type="dxa"/>
            <w:gridSpan w:val="2"/>
            <w:tcBorders>
              <w:top w:val="single" w:sz="4" w:space="0" w:color="auto"/>
              <w:left w:val="nil"/>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75</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70</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68</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63</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55</w:t>
            </w:r>
          </w:p>
        </w:tc>
        <w:tc>
          <w:tcPr>
            <w:tcW w:w="44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43</w:t>
            </w:r>
          </w:p>
        </w:tc>
        <w:tc>
          <w:tcPr>
            <w:tcW w:w="440" w:type="dxa"/>
            <w:tcBorders>
              <w:top w:val="single" w:sz="4" w:space="0" w:color="auto"/>
              <w:left w:val="single" w:sz="4" w:space="0" w:color="auto"/>
              <w:bottom w:val="single" w:sz="18" w:space="0" w:color="auto"/>
              <w:right w:val="single" w:sz="12" w:space="0" w:color="auto"/>
            </w:tcBorders>
            <w:shd w:val="clear" w:color="auto" w:fill="D9D9D9" w:themeFill="background1" w:themeFillShade="D9"/>
            <w:vAlign w:val="bottom"/>
          </w:tcPr>
          <w:p w:rsidR="004C43A6" w:rsidRPr="004E2A30" w:rsidRDefault="004C43A6" w:rsidP="004F1DAE">
            <w:pPr>
              <w:jc w:val="right"/>
              <w:rPr>
                <w:rFonts w:ascii="Calibri" w:hAnsi="Calibri" w:cs="Calibri"/>
                <w:color w:val="000000"/>
              </w:rPr>
            </w:pPr>
            <w:r w:rsidRPr="004E2A30">
              <w:rPr>
                <w:rFonts w:ascii="Calibri" w:hAnsi="Calibri" w:cs="Calibri"/>
                <w:color w:val="000000"/>
              </w:rPr>
              <w:t>16</w:t>
            </w:r>
          </w:p>
        </w:tc>
      </w:tr>
      <w:tr w:rsidR="006C0004" w:rsidTr="0024600E">
        <w:trPr>
          <w:trHeight w:val="170"/>
        </w:trPr>
        <w:tc>
          <w:tcPr>
            <w:tcW w:w="15652" w:type="dxa"/>
            <w:gridSpan w:val="25"/>
            <w:tcBorders>
              <w:top w:val="single" w:sz="18"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C0004" w:rsidRPr="004E2A30" w:rsidRDefault="006C0004" w:rsidP="00977928">
            <w:pPr>
              <w:jc w:val="left"/>
              <w:rPr>
                <w:rFonts w:ascii="Calibri" w:hAnsi="Calibri" w:cs="Calibri"/>
                <w:color w:val="000000"/>
              </w:rPr>
            </w:pPr>
            <w:r w:rsidRPr="004E2A30">
              <w:rPr>
                <w:rFonts w:ascii="Calibri" w:hAnsi="Calibri" w:cs="Calibri"/>
                <w:b/>
                <w:bCs/>
                <w:color w:val="000000"/>
              </w:rPr>
              <w:t xml:space="preserve">Meets recommended muscle </w:t>
            </w:r>
            <w:r w:rsidR="000E7350" w:rsidRPr="004E2A30">
              <w:rPr>
                <w:rFonts w:ascii="Calibri" w:hAnsi="Calibri" w:cs="Calibri"/>
                <w:b/>
                <w:bCs/>
                <w:color w:val="000000"/>
              </w:rPr>
              <w:t>strengthening</w:t>
            </w:r>
            <w:r w:rsidRPr="004E2A30">
              <w:rPr>
                <w:rFonts w:ascii="Calibri" w:hAnsi="Calibri" w:cs="Calibri"/>
                <w:b/>
                <w:bCs/>
                <w:color w:val="000000"/>
              </w:rPr>
              <w:t xml:space="preserve"> exercise level - Twice per week</w:t>
            </w:r>
          </w:p>
        </w:tc>
      </w:tr>
      <w:tr w:rsidR="006C0004" w:rsidTr="0024600E">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C0004" w:rsidRPr="004F1DAE" w:rsidRDefault="006C0004" w:rsidP="00977928">
            <w:pPr>
              <w:jc w:val="left"/>
              <w:rPr>
                <w:rFonts w:ascii="Calibri" w:hAnsi="Calibri" w:cs="Calibri"/>
                <w:b/>
                <w:bCs/>
                <w:color w:val="000000"/>
                <w:sz w:val="18"/>
                <w:szCs w:val="18"/>
              </w:rPr>
            </w:pPr>
            <w:r w:rsidRPr="004F1DAE">
              <w:rPr>
                <w:rFonts w:ascii="Calibri" w:hAnsi="Calibri" w:cs="Calibri"/>
                <w:b/>
                <w:bCs/>
                <w:color w:val="000000"/>
                <w:sz w:val="18"/>
                <w:szCs w:val="18"/>
              </w:rPr>
              <w:t>All over 19</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24</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14</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19</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22</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21</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23</w:t>
            </w:r>
          </w:p>
        </w:tc>
        <w:tc>
          <w:tcPr>
            <w:tcW w:w="467"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36</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28</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23</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6</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w:t>
            </w:r>
          </w:p>
        </w:tc>
      </w:tr>
      <w:tr w:rsidR="006C0004" w:rsidTr="0024600E">
        <w:trPr>
          <w:trHeight w:val="170"/>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C0004" w:rsidRPr="004F1DAE" w:rsidRDefault="006C0004" w:rsidP="00977928">
            <w:pPr>
              <w:jc w:val="left"/>
              <w:rPr>
                <w:rFonts w:ascii="Calibri" w:hAnsi="Calibri" w:cs="Calibri"/>
                <w:b/>
                <w:bCs/>
                <w:color w:val="000000"/>
                <w:sz w:val="18"/>
                <w:szCs w:val="18"/>
              </w:rPr>
            </w:pPr>
            <w:r w:rsidRPr="004F1DAE">
              <w:rPr>
                <w:rFonts w:ascii="Calibri" w:hAnsi="Calibri" w:cs="Calibri"/>
                <w:b/>
                <w:bCs/>
                <w:color w:val="000000"/>
                <w:sz w:val="18"/>
                <w:szCs w:val="18"/>
              </w:rPr>
              <w:t>Obese over 19</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467"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12</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22</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10</w:t>
            </w:r>
          </w:p>
        </w:tc>
        <w:tc>
          <w:tcPr>
            <w:tcW w:w="46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4</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w:t>
            </w:r>
          </w:p>
        </w:tc>
      </w:tr>
      <w:tr w:rsidR="006C0004" w:rsidTr="0024600E">
        <w:trPr>
          <w:trHeight w:val="170"/>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C0004" w:rsidRPr="004F1DAE" w:rsidRDefault="006C0004" w:rsidP="00977928">
            <w:pPr>
              <w:jc w:val="left"/>
              <w:rPr>
                <w:rFonts w:ascii="Calibri" w:hAnsi="Calibri" w:cs="Calibri"/>
                <w:b/>
                <w:bCs/>
                <w:color w:val="000000"/>
                <w:sz w:val="18"/>
                <w:szCs w:val="18"/>
              </w:rPr>
            </w:pPr>
            <w:r w:rsidRPr="004F1DAE">
              <w:rPr>
                <w:rFonts w:ascii="Calibri" w:hAnsi="Calibri" w:cs="Calibri"/>
                <w:b/>
                <w:bCs/>
                <w:color w:val="000000"/>
                <w:sz w:val="18"/>
                <w:szCs w:val="18"/>
              </w:rPr>
              <w:t>Overweight over 19</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32</w:t>
            </w:r>
          </w:p>
        </w:tc>
        <w:tc>
          <w:tcPr>
            <w:tcW w:w="46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41</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32</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29</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23</w:t>
            </w:r>
          </w:p>
        </w:tc>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w:t>
            </w:r>
          </w:p>
        </w:tc>
      </w:tr>
      <w:tr w:rsidR="006C0004" w:rsidTr="0024600E">
        <w:trPr>
          <w:trHeight w:val="170"/>
        </w:trPr>
        <w:tc>
          <w:tcPr>
            <w:tcW w:w="2210" w:type="dxa"/>
            <w:tcBorders>
              <w:top w:val="single" w:sz="4" w:space="0" w:color="auto"/>
              <w:left w:val="single" w:sz="12" w:space="0" w:color="auto"/>
              <w:bottom w:val="single" w:sz="18" w:space="0" w:color="auto"/>
              <w:right w:val="single" w:sz="12" w:space="0" w:color="auto"/>
            </w:tcBorders>
            <w:shd w:val="clear" w:color="auto" w:fill="A6A6A6" w:themeFill="background1" w:themeFillShade="A6"/>
            <w:noWrap/>
            <w:tcMar>
              <w:left w:w="57" w:type="dxa"/>
              <w:right w:w="57" w:type="dxa"/>
            </w:tcMar>
            <w:vAlign w:val="bottom"/>
            <w:hideMark/>
          </w:tcPr>
          <w:p w:rsidR="006C0004" w:rsidRPr="00873670" w:rsidRDefault="00873670" w:rsidP="00977928">
            <w:pPr>
              <w:jc w:val="left"/>
              <w:rPr>
                <w:rFonts w:ascii="Calibri" w:hAnsi="Calibri" w:cs="Calibri"/>
                <w:b/>
                <w:bCs/>
                <w:color w:val="000000"/>
                <w:sz w:val="16"/>
                <w:szCs w:val="16"/>
              </w:rPr>
            </w:pPr>
            <w:r w:rsidRPr="00873670">
              <w:rPr>
                <w:rFonts w:ascii="Calibri" w:hAnsi="Calibri" w:cs="Calibri"/>
                <w:b/>
                <w:bCs/>
                <w:color w:val="000000"/>
                <w:sz w:val="17"/>
                <w:szCs w:val="17"/>
              </w:rPr>
              <w:t>Normal</w:t>
            </w:r>
            <w:r w:rsidR="006C0004" w:rsidRPr="00873670">
              <w:rPr>
                <w:rFonts w:ascii="Calibri" w:hAnsi="Calibri" w:cs="Calibri"/>
                <w:b/>
                <w:bCs/>
                <w:color w:val="000000"/>
                <w:sz w:val="17"/>
                <w:szCs w:val="17"/>
              </w:rPr>
              <w:t>/Underweight</w:t>
            </w:r>
            <w:r w:rsidR="006C0004" w:rsidRPr="00873670">
              <w:rPr>
                <w:rFonts w:ascii="Calibri" w:hAnsi="Calibri" w:cs="Calibri"/>
                <w:b/>
                <w:bCs/>
                <w:color w:val="000000"/>
                <w:sz w:val="16"/>
                <w:szCs w:val="16"/>
              </w:rPr>
              <w:t xml:space="preserve"> over 19</w:t>
            </w:r>
          </w:p>
        </w:tc>
        <w:tc>
          <w:tcPr>
            <w:tcW w:w="713" w:type="dxa"/>
            <w:tcBorders>
              <w:top w:val="single" w:sz="4" w:space="0" w:color="auto"/>
              <w:left w:val="single" w:sz="12" w:space="0" w:color="auto"/>
              <w:bottom w:val="single" w:sz="18"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538" w:type="dxa"/>
            <w:tcBorders>
              <w:top w:val="single" w:sz="4" w:space="0" w:color="auto"/>
              <w:left w:val="single" w:sz="12" w:space="0" w:color="auto"/>
              <w:bottom w:val="single" w:sz="18"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34</w:t>
            </w:r>
          </w:p>
        </w:tc>
        <w:tc>
          <w:tcPr>
            <w:tcW w:w="718" w:type="dxa"/>
            <w:tcBorders>
              <w:top w:val="single" w:sz="4" w:space="0" w:color="auto"/>
              <w:left w:val="nil"/>
              <w:bottom w:val="single" w:sz="18"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20</w:t>
            </w:r>
          </w:p>
        </w:tc>
        <w:tc>
          <w:tcPr>
            <w:tcW w:w="630" w:type="dxa"/>
            <w:tcBorders>
              <w:top w:val="single" w:sz="4" w:space="0" w:color="auto"/>
              <w:left w:val="single" w:sz="12" w:space="0" w:color="auto"/>
              <w:bottom w:val="single" w:sz="18"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553" w:type="dxa"/>
            <w:tcBorders>
              <w:top w:val="single" w:sz="4" w:space="0" w:color="auto"/>
              <w:left w:val="nil"/>
              <w:bottom w:val="single" w:sz="18"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688" w:type="dxa"/>
            <w:tcBorders>
              <w:top w:val="single" w:sz="4" w:space="0" w:color="auto"/>
              <w:left w:val="single" w:sz="12" w:space="0" w:color="auto"/>
              <w:bottom w:val="single" w:sz="18"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34</w:t>
            </w:r>
          </w:p>
        </w:tc>
        <w:tc>
          <w:tcPr>
            <w:tcW w:w="881"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20</w:t>
            </w:r>
          </w:p>
        </w:tc>
        <w:tc>
          <w:tcPr>
            <w:tcW w:w="739"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22</w:t>
            </w:r>
          </w:p>
        </w:tc>
        <w:tc>
          <w:tcPr>
            <w:tcW w:w="880" w:type="dxa"/>
            <w:tcBorders>
              <w:top w:val="single" w:sz="4" w:space="0" w:color="auto"/>
              <w:left w:val="nil"/>
              <w:bottom w:val="single" w:sz="18"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27</w:t>
            </w:r>
          </w:p>
        </w:tc>
        <w:tc>
          <w:tcPr>
            <w:tcW w:w="825" w:type="dxa"/>
            <w:tcBorders>
              <w:top w:val="single" w:sz="4" w:space="0" w:color="auto"/>
              <w:left w:val="nil"/>
              <w:bottom w:val="single" w:sz="18"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23</w:t>
            </w:r>
          </w:p>
        </w:tc>
        <w:tc>
          <w:tcPr>
            <w:tcW w:w="871" w:type="dxa"/>
            <w:gridSpan w:val="2"/>
            <w:tcBorders>
              <w:top w:val="single" w:sz="4" w:space="0" w:color="auto"/>
              <w:left w:val="single" w:sz="12" w:space="0" w:color="auto"/>
              <w:bottom w:val="single" w:sz="18"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17</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19</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33</w:t>
            </w:r>
          </w:p>
        </w:tc>
        <w:tc>
          <w:tcPr>
            <w:tcW w:w="440" w:type="dxa"/>
            <w:tcBorders>
              <w:top w:val="single" w:sz="4" w:space="0" w:color="auto"/>
              <w:left w:val="nil"/>
              <w:bottom w:val="single" w:sz="18"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25</w:t>
            </w:r>
          </w:p>
        </w:tc>
        <w:tc>
          <w:tcPr>
            <w:tcW w:w="871" w:type="dxa"/>
            <w:tcBorders>
              <w:top w:val="single" w:sz="4" w:space="0" w:color="auto"/>
              <w:left w:val="nil"/>
              <w:bottom w:val="single" w:sz="18"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28</w:t>
            </w:r>
          </w:p>
        </w:tc>
        <w:tc>
          <w:tcPr>
            <w:tcW w:w="467" w:type="dxa"/>
            <w:gridSpan w:val="2"/>
            <w:tcBorders>
              <w:top w:val="single" w:sz="4" w:space="0" w:color="auto"/>
              <w:left w:val="nil"/>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46</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34</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23</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16</w:t>
            </w:r>
          </w:p>
        </w:tc>
        <w:tc>
          <w:tcPr>
            <w:tcW w:w="4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12</w:t>
            </w:r>
          </w:p>
        </w:tc>
        <w:tc>
          <w:tcPr>
            <w:tcW w:w="440"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6</w:t>
            </w:r>
          </w:p>
        </w:tc>
        <w:tc>
          <w:tcPr>
            <w:tcW w:w="440" w:type="dxa"/>
            <w:tcBorders>
              <w:top w:val="single" w:sz="4" w:space="0" w:color="auto"/>
              <w:left w:val="single" w:sz="4" w:space="0" w:color="auto"/>
              <w:bottom w:val="single" w:sz="18" w:space="0" w:color="auto"/>
              <w:right w:val="single" w:sz="12"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4</w:t>
            </w:r>
          </w:p>
        </w:tc>
      </w:tr>
      <w:tr w:rsidR="006C0004" w:rsidTr="0024600E">
        <w:trPr>
          <w:trHeight w:val="170"/>
        </w:trPr>
        <w:tc>
          <w:tcPr>
            <w:tcW w:w="15652" w:type="dxa"/>
            <w:gridSpan w:val="25"/>
            <w:tcBorders>
              <w:top w:val="single" w:sz="18"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6C0004" w:rsidRDefault="006C0004" w:rsidP="00977928">
            <w:pPr>
              <w:jc w:val="left"/>
              <w:rPr>
                <w:rFonts w:ascii="Calibri" w:hAnsi="Calibri" w:cs="Calibri"/>
                <w:color w:val="000000"/>
                <w:sz w:val="22"/>
                <w:szCs w:val="22"/>
              </w:rPr>
            </w:pPr>
            <w:r>
              <w:rPr>
                <w:rFonts w:ascii="Calibri" w:hAnsi="Calibri" w:cs="Calibri"/>
                <w:b/>
                <w:bCs/>
                <w:color w:val="000000"/>
              </w:rPr>
              <w:t xml:space="preserve">Over 65s only - </w:t>
            </w:r>
            <w:r w:rsidRPr="004F1DAE">
              <w:rPr>
                <w:rFonts w:ascii="Calibri" w:hAnsi="Calibri" w:cs="Calibri"/>
                <w:b/>
                <w:bCs/>
                <w:color w:val="000000"/>
              </w:rPr>
              <w:t>Meets recommended balance and coordination exercise level - 10 minutes twice per week</w:t>
            </w:r>
          </w:p>
        </w:tc>
      </w:tr>
      <w:tr w:rsidR="006C0004" w:rsidTr="0024600E">
        <w:trPr>
          <w:trHeight w:val="170"/>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C0004" w:rsidRPr="004F1DAE" w:rsidRDefault="006C0004" w:rsidP="00977928">
            <w:pPr>
              <w:jc w:val="left"/>
              <w:rPr>
                <w:rFonts w:ascii="Calibri" w:hAnsi="Calibri" w:cs="Calibri"/>
                <w:b/>
                <w:bCs/>
                <w:color w:val="000000"/>
                <w:sz w:val="18"/>
                <w:szCs w:val="18"/>
              </w:rPr>
            </w:pPr>
            <w:r w:rsidRPr="004F1DAE">
              <w:rPr>
                <w:rFonts w:ascii="Calibri" w:hAnsi="Calibri" w:cs="Calibri"/>
                <w:b/>
                <w:bCs/>
                <w:color w:val="000000"/>
                <w:sz w:val="18"/>
                <w:szCs w:val="18"/>
              </w:rPr>
              <w:t>All over 65</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10</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12</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8</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13</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19</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10</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11</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7</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9</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12</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C0004" w:rsidRPr="004E2A30" w:rsidRDefault="006C0004" w:rsidP="005A3BAC">
            <w:pPr>
              <w:jc w:val="right"/>
              <w:rPr>
                <w:rFonts w:ascii="Calibri" w:hAnsi="Calibri" w:cs="Calibri"/>
                <w:color w:val="000000"/>
              </w:rPr>
            </w:pPr>
            <w:r w:rsidRPr="004E2A30">
              <w:rPr>
                <w:rFonts w:ascii="Calibri" w:hAnsi="Calibri" w:cs="Calibri"/>
                <w:color w:val="000000"/>
              </w:rPr>
              <w:t>20</w:t>
            </w:r>
          </w:p>
        </w:tc>
        <w:tc>
          <w:tcPr>
            <w:tcW w:w="467"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C0004" w:rsidRDefault="006C0004" w:rsidP="005A3BAC">
            <w:r w:rsidRPr="0088772F">
              <w:rPr>
                <w:rFonts w:ascii="Calibri" w:hAnsi="Calibri" w:cs="Calibri"/>
                <w:color w:val="000000"/>
                <w:sz w:val="18"/>
                <w:szCs w:val="18"/>
              </w:rPr>
              <w:t>n/a</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Default="006C0004" w:rsidP="005A3BAC">
            <w:r w:rsidRPr="0088772F">
              <w:rPr>
                <w:rFonts w:ascii="Calibri" w:hAnsi="Calibri" w:cs="Calibri"/>
                <w:color w:val="000000"/>
                <w:sz w:val="18"/>
                <w:szCs w:val="18"/>
              </w:rPr>
              <w:t>n/a</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Default="006C0004" w:rsidP="005A3BAC">
            <w:r w:rsidRPr="0088772F">
              <w:rPr>
                <w:rFonts w:ascii="Calibri" w:hAnsi="Calibri" w:cs="Calibri"/>
                <w:color w:val="000000"/>
                <w:sz w:val="18"/>
                <w:szCs w:val="18"/>
              </w:rPr>
              <w:t>n/a</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Default="006C0004" w:rsidP="005A3BAC">
            <w:r w:rsidRPr="0088772F">
              <w:rPr>
                <w:rFonts w:ascii="Calibri" w:hAnsi="Calibri" w:cs="Calibri"/>
                <w:color w:val="000000"/>
                <w:sz w:val="18"/>
                <w:szCs w:val="18"/>
              </w:rPr>
              <w:t>n/a</w:t>
            </w:r>
          </w:p>
        </w:tc>
        <w:tc>
          <w:tcPr>
            <w:tcW w:w="4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Default="006C0004" w:rsidP="005A3BAC">
            <w:r w:rsidRPr="0088772F">
              <w:rPr>
                <w:rFonts w:ascii="Calibri" w:hAnsi="Calibri" w:cs="Calibri"/>
                <w:color w:val="000000"/>
                <w:sz w:val="18"/>
                <w:szCs w:val="18"/>
              </w:rPr>
              <w:t>n/a</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18</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C0004" w:rsidRPr="004E2A30" w:rsidRDefault="006C0004" w:rsidP="005A3BAC">
            <w:pPr>
              <w:jc w:val="right"/>
              <w:rPr>
                <w:rFonts w:ascii="Calibri" w:hAnsi="Calibri" w:cs="Calibri"/>
                <w:color w:val="000000"/>
              </w:rPr>
            </w:pPr>
            <w:r w:rsidRPr="004E2A30">
              <w:rPr>
                <w:rFonts w:ascii="Calibri" w:hAnsi="Calibri" w:cs="Calibri"/>
                <w:color w:val="000000"/>
              </w:rPr>
              <w:t>6</w:t>
            </w:r>
          </w:p>
        </w:tc>
      </w:tr>
    </w:tbl>
    <w:p w:rsidR="00D158CE" w:rsidRPr="00AC756F" w:rsidRDefault="000B2FD9" w:rsidP="00AC756F">
      <w:pPr>
        <w:pStyle w:val="Heading3"/>
        <w:spacing w:before="0"/>
        <w:rPr>
          <w:rFonts w:asciiTheme="minorHAnsi" w:hAnsiTheme="minorHAnsi" w:cstheme="minorHAnsi"/>
          <w:color w:val="auto"/>
          <w:sz w:val="22"/>
          <w:szCs w:val="22"/>
        </w:rPr>
      </w:pPr>
      <w:bookmarkStart w:id="79" w:name="_Ref381946690"/>
      <w:r w:rsidRPr="00AC756F">
        <w:rPr>
          <w:rFonts w:asciiTheme="minorHAnsi" w:hAnsiTheme="minorHAnsi" w:cstheme="minorHAnsi"/>
          <w:color w:val="auto"/>
          <w:sz w:val="22"/>
          <w:szCs w:val="22"/>
        </w:rPr>
        <w:t>Sedentary Time</w:t>
      </w:r>
      <w:r w:rsidR="00D158CE" w:rsidRPr="00AC756F">
        <w:rPr>
          <w:rFonts w:asciiTheme="minorHAnsi" w:hAnsiTheme="minorHAnsi" w:cstheme="minorHAnsi"/>
          <w:color w:val="auto"/>
          <w:sz w:val="22"/>
          <w:szCs w:val="22"/>
        </w:rPr>
        <w:t xml:space="preserve"> on weekdays – All respondents aged 19 and over</w:t>
      </w:r>
      <w:bookmarkEnd w:id="79"/>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D158CE" w:rsidRPr="00EB5B0E" w:rsidTr="0024600E">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Pr="00BE1A84" w:rsidRDefault="00D158CE" w:rsidP="00AD2424">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953661" w:rsidRDefault="00D158CE" w:rsidP="00AD2424">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951E81" w:rsidRDefault="00D158CE" w:rsidP="00AD2424">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D158CE" w:rsidRPr="00EB5B0E" w:rsidRDefault="00D158CE" w:rsidP="00AD2424">
            <w:pPr>
              <w:jc w:val="center"/>
              <w:rPr>
                <w:rFonts w:ascii="Calibri" w:hAnsi="Calibri" w:cs="Calibri"/>
                <w:b/>
                <w:bCs/>
                <w:color w:val="000000"/>
                <w:lang w:eastAsia="en-GB"/>
              </w:rPr>
            </w:pPr>
            <w:r>
              <w:rPr>
                <w:rFonts w:ascii="Calibri" w:hAnsi="Calibri" w:cs="Calibri"/>
                <w:b/>
                <w:bCs/>
                <w:color w:val="000000"/>
                <w:lang w:eastAsia="en-GB"/>
              </w:rPr>
              <w:t>Age</w:t>
            </w:r>
          </w:p>
        </w:tc>
      </w:tr>
      <w:tr w:rsidR="00D158CE" w:rsidTr="0024600E">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Pr="00462493" w:rsidRDefault="00D158CE" w:rsidP="00AD2424">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19-24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75+</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D158CE" w:rsidRDefault="00D158CE" w:rsidP="00AD2424">
            <w:pPr>
              <w:rPr>
                <w:rFonts w:ascii="Calibri" w:hAnsi="Calibri" w:cs="Calibri"/>
                <w:b/>
                <w:bCs/>
                <w:color w:val="000000"/>
              </w:rPr>
            </w:pPr>
            <w:r>
              <w:rPr>
                <w:rFonts w:ascii="Calibri" w:hAnsi="Calibri" w:cs="Calibri"/>
                <w:b/>
                <w:bCs/>
                <w:color w:val="000000"/>
              </w:rPr>
              <w:t xml:space="preserve">Total </w:t>
            </w:r>
            <w:r w:rsidR="000B2FD9">
              <w:rPr>
                <w:rFonts w:ascii="Calibri" w:hAnsi="Calibri" w:cs="Calibri"/>
                <w:b/>
                <w:bCs/>
                <w:color w:val="000000"/>
              </w:rPr>
              <w:t>Sedentary</w:t>
            </w:r>
            <w:r>
              <w:rPr>
                <w:rFonts w:ascii="Calibri" w:hAnsi="Calibri" w:cs="Calibri"/>
                <w:b/>
                <w:bCs/>
                <w:color w:val="000000"/>
              </w:rPr>
              <w:t xml:space="preserve"> Time per Weekday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43</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37</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45</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41</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41</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70</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D158CE">
              <w:rPr>
                <w:rFonts w:ascii="Calibri" w:hAnsi="Calibri" w:cs="Calibri"/>
                <w:b/>
                <w:bCs/>
                <w:color w:val="000000"/>
              </w:rPr>
              <w:t>Time Spent Watching Television per Weekday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D158CE">
              <w:rPr>
                <w:rFonts w:ascii="Calibri" w:hAnsi="Calibri" w:cs="Calibri"/>
                <w:b/>
                <w:bCs/>
                <w:color w:val="000000"/>
              </w:rPr>
              <w:t xml:space="preserve">Other </w:t>
            </w:r>
            <w:r w:rsidR="000B2FD9">
              <w:rPr>
                <w:rFonts w:ascii="Calibri" w:hAnsi="Calibri" w:cs="Calibri"/>
                <w:b/>
                <w:bCs/>
                <w:color w:val="000000"/>
              </w:rPr>
              <w:t>Sedentary</w:t>
            </w:r>
            <w:r w:rsidRPr="00D158CE">
              <w:rPr>
                <w:rFonts w:ascii="Calibri" w:hAnsi="Calibri" w:cs="Calibri"/>
                <w:b/>
                <w:bCs/>
                <w:color w:val="000000"/>
              </w:rPr>
              <w:t xml:space="preserve"> Time per Weekday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51</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53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48</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r>
      <w:tr w:rsidR="00D158CE" w:rsidTr="0024600E">
        <w:trPr>
          <w:trHeight w:val="283"/>
        </w:trPr>
        <w:tc>
          <w:tcPr>
            <w:tcW w:w="22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977928">
            <w:pPr>
              <w:jc w:val="left"/>
              <w:rPr>
                <w:rFonts w:ascii="Calibri" w:hAnsi="Calibri" w:cs="Calibri"/>
                <w:b/>
                <w:bCs/>
                <w:color w:val="000000"/>
              </w:rPr>
            </w:pPr>
            <w:r w:rsidRPr="00990F98">
              <w:rPr>
                <w:rFonts w:ascii="Calibri" w:hAnsi="Calibri" w:cs="Calibri"/>
                <w:b/>
                <w:bCs/>
                <w:color w:val="000000"/>
                <w:sz w:val="18"/>
                <w:szCs w:val="18"/>
              </w:rPr>
              <w:t>Half or more of sedentary time on weekdays spent watching t</w:t>
            </w:r>
            <w:r>
              <w:rPr>
                <w:rFonts w:ascii="Calibri" w:hAnsi="Calibri" w:cs="Calibri"/>
                <w:b/>
                <w:bCs/>
                <w:color w:val="000000"/>
                <w:sz w:val="18"/>
                <w:szCs w:val="18"/>
              </w:rPr>
              <w:t>elevision</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72</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72</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71</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71</w:t>
            </w:r>
          </w:p>
        </w:tc>
      </w:tr>
    </w:tbl>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555E2B" w:rsidRDefault="00555E2B" w:rsidP="004C43A6">
      <w:pPr>
        <w:tabs>
          <w:tab w:val="center" w:pos="4075"/>
        </w:tabs>
        <w:autoSpaceDE w:val="0"/>
        <w:autoSpaceDN w:val="0"/>
        <w:adjustRightInd w:val="0"/>
        <w:rPr>
          <w:rFonts w:ascii="Calibri" w:hAnsi="Calibri" w:cs="Calibri"/>
          <w:b/>
          <w:color w:val="000000"/>
          <w:sz w:val="22"/>
          <w:szCs w:val="22"/>
          <w:lang w:eastAsia="en-GB"/>
        </w:rPr>
      </w:pPr>
    </w:p>
    <w:p w:rsidR="00555E2B" w:rsidRDefault="00555E2B"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D158CE" w:rsidRDefault="00D158CE" w:rsidP="004C43A6">
      <w:pPr>
        <w:tabs>
          <w:tab w:val="center" w:pos="4075"/>
        </w:tabs>
        <w:autoSpaceDE w:val="0"/>
        <w:autoSpaceDN w:val="0"/>
        <w:adjustRightInd w:val="0"/>
        <w:rPr>
          <w:rFonts w:ascii="Calibri" w:hAnsi="Calibri" w:cs="Calibri"/>
          <w:b/>
          <w:color w:val="000000"/>
          <w:sz w:val="22"/>
          <w:szCs w:val="22"/>
          <w:lang w:eastAsia="en-GB"/>
        </w:rPr>
      </w:pPr>
    </w:p>
    <w:p w:rsidR="004C43A6" w:rsidRPr="00F10695" w:rsidRDefault="000B2FD9" w:rsidP="004C43A6">
      <w:pPr>
        <w:tabs>
          <w:tab w:val="center" w:pos="4075"/>
        </w:tabs>
        <w:autoSpaceDE w:val="0"/>
        <w:autoSpaceDN w:val="0"/>
        <w:adjustRightInd w:val="0"/>
        <w:rPr>
          <w:rFonts w:asciiTheme="minorHAnsi" w:hAnsiTheme="minorHAnsi" w:cstheme="minorHAnsi"/>
          <w:b/>
          <w:sz w:val="22"/>
          <w:szCs w:val="22"/>
        </w:rPr>
      </w:pPr>
      <w:r>
        <w:rPr>
          <w:rFonts w:ascii="Calibri" w:hAnsi="Calibri" w:cs="Calibri"/>
          <w:b/>
          <w:color w:val="000000"/>
          <w:sz w:val="22"/>
          <w:szCs w:val="22"/>
          <w:lang w:eastAsia="en-GB"/>
        </w:rPr>
        <w:t>Sedentary Time</w:t>
      </w:r>
      <w:r w:rsidR="004C43A6">
        <w:rPr>
          <w:rFonts w:ascii="Calibri" w:hAnsi="Calibri" w:cs="Calibri"/>
          <w:b/>
          <w:color w:val="000000"/>
          <w:sz w:val="22"/>
          <w:szCs w:val="22"/>
          <w:lang w:eastAsia="en-GB"/>
        </w:rPr>
        <w:t xml:space="preserve"> on weekdays</w:t>
      </w:r>
      <w:r w:rsidR="00D158CE">
        <w:rPr>
          <w:rFonts w:ascii="Calibri" w:hAnsi="Calibri" w:cs="Calibri"/>
          <w:b/>
          <w:color w:val="000000"/>
          <w:sz w:val="22"/>
          <w:szCs w:val="22"/>
          <w:lang w:eastAsia="en-GB"/>
        </w:rPr>
        <w:t xml:space="preserve"> by BMI category</w:t>
      </w:r>
      <w:r w:rsidR="004C43A6">
        <w:rPr>
          <w:rFonts w:ascii="Calibri" w:hAnsi="Calibri" w:cs="Calibri"/>
          <w:b/>
          <w:color w:val="000000"/>
          <w:sz w:val="22"/>
          <w:szCs w:val="22"/>
          <w:lang w:eastAsia="en-GB"/>
        </w:rPr>
        <w:t xml:space="preserve"> – All respondents aged 19 and over</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4C43A6" w:rsidRPr="00EB5B0E" w:rsidTr="0024600E">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BE1A84" w:rsidRDefault="004C43A6"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1E81" w:rsidRDefault="004C43A6"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24600E">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19-24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4C43A6"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E241EA" w:rsidRDefault="004C43A6" w:rsidP="004F1DAE">
            <w:pPr>
              <w:rPr>
                <w:rFonts w:ascii="Calibri" w:hAnsi="Calibri" w:cs="Calibri"/>
                <w:color w:val="000000"/>
              </w:rPr>
            </w:pPr>
            <w:r w:rsidRPr="00E241EA">
              <w:rPr>
                <w:rFonts w:ascii="Calibri" w:hAnsi="Calibri" w:cs="Calibri"/>
                <w:b/>
                <w:bCs/>
                <w:color w:val="000000"/>
              </w:rPr>
              <w:t xml:space="preserve">All respondents aged over 19 who are classed as Obese </w:t>
            </w:r>
          </w:p>
        </w:tc>
      </w:tr>
      <w:tr w:rsidR="004C43A6"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0</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0</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r>
      <w:tr w:rsidR="004C43A6"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50</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66</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70</w:t>
            </w:r>
          </w:p>
        </w:tc>
      </w:tr>
      <w:tr w:rsidR="004C43A6"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E241EA" w:rsidRDefault="004C43A6" w:rsidP="004F1DAE">
            <w:pPr>
              <w:rPr>
                <w:rFonts w:ascii="Calibri" w:hAnsi="Calibri" w:cs="Calibri"/>
                <w:color w:val="000000"/>
              </w:rPr>
            </w:pPr>
            <w:r w:rsidRPr="00E241EA">
              <w:rPr>
                <w:rFonts w:ascii="Calibri" w:hAnsi="Calibri" w:cs="Calibri"/>
                <w:b/>
                <w:bCs/>
                <w:color w:val="000000"/>
              </w:rPr>
              <w:t xml:space="preserve">All respondents aged over 19 who are classed as Overweight </w:t>
            </w:r>
          </w:p>
        </w:tc>
      </w:tr>
      <w:tr w:rsidR="004C43A6"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r>
      <w:tr w:rsidR="004C43A6"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46</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43</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68</w:t>
            </w:r>
          </w:p>
        </w:tc>
      </w:tr>
      <w:tr w:rsidR="004C43A6"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4C43A6" w:rsidRPr="00E241EA" w:rsidRDefault="004C43A6" w:rsidP="004F1DAE">
            <w:pPr>
              <w:rPr>
                <w:rFonts w:ascii="Calibri" w:hAnsi="Calibri" w:cs="Calibri"/>
                <w:color w:val="000000"/>
              </w:rPr>
            </w:pPr>
            <w:r w:rsidRPr="00E241EA">
              <w:rPr>
                <w:rFonts w:ascii="Calibri" w:hAnsi="Calibri" w:cs="Calibri"/>
                <w:b/>
                <w:bCs/>
                <w:color w:val="000000"/>
              </w:rPr>
              <w:t xml:space="preserve">All respondents aged over 19 who are classed as Normal weight or Underweight </w:t>
            </w:r>
          </w:p>
        </w:tc>
      </w:tr>
      <w:tr w:rsidR="004C43A6"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r>
      <w:tr w:rsidR="004C43A6"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14</w:t>
            </w:r>
          </w:p>
        </w:tc>
      </w:tr>
      <w:tr w:rsidR="004C43A6"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Default="004C43A6" w:rsidP="004F1DAE">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37</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44</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30</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47</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29</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41</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34</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58</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555E2B" w:rsidRDefault="00555E2B"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D158CE" w:rsidRDefault="00D158CE" w:rsidP="004C43A6">
      <w:pPr>
        <w:tabs>
          <w:tab w:val="center" w:pos="4075"/>
        </w:tabs>
        <w:autoSpaceDE w:val="0"/>
        <w:autoSpaceDN w:val="0"/>
        <w:adjustRightInd w:val="0"/>
        <w:rPr>
          <w:rFonts w:asciiTheme="minorHAnsi" w:hAnsiTheme="minorHAnsi" w:cstheme="minorHAnsi"/>
          <w:b/>
          <w:sz w:val="22"/>
          <w:szCs w:val="22"/>
        </w:rPr>
      </w:pPr>
    </w:p>
    <w:p w:rsidR="004C43A6" w:rsidRPr="00F10695" w:rsidRDefault="000B2FD9" w:rsidP="004C43A6">
      <w:pPr>
        <w:tabs>
          <w:tab w:val="center" w:pos="4075"/>
        </w:tabs>
        <w:autoSpaceDE w:val="0"/>
        <w:autoSpaceDN w:val="0"/>
        <w:adjustRightInd w:val="0"/>
        <w:rPr>
          <w:rFonts w:asciiTheme="minorHAnsi" w:hAnsiTheme="minorHAnsi" w:cstheme="minorHAnsi"/>
          <w:b/>
          <w:sz w:val="22"/>
          <w:szCs w:val="22"/>
        </w:rPr>
      </w:pPr>
      <w:r>
        <w:rPr>
          <w:rFonts w:ascii="Calibri" w:hAnsi="Calibri" w:cs="Calibri"/>
          <w:b/>
          <w:color w:val="000000"/>
          <w:sz w:val="22"/>
          <w:szCs w:val="22"/>
          <w:lang w:eastAsia="en-GB"/>
        </w:rPr>
        <w:t>Sedentary Time</w:t>
      </w:r>
      <w:r w:rsidR="004C43A6">
        <w:rPr>
          <w:rFonts w:ascii="Calibri" w:hAnsi="Calibri" w:cs="Calibri"/>
          <w:b/>
          <w:color w:val="000000"/>
          <w:sz w:val="22"/>
          <w:szCs w:val="22"/>
          <w:lang w:eastAsia="en-GB"/>
        </w:rPr>
        <w:t xml:space="preserve"> on weekend days – All respondents aged 19 and over</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4C43A6" w:rsidRPr="00EB5B0E" w:rsidTr="0024600E">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BE1A84" w:rsidRDefault="004C43A6"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951E81" w:rsidRDefault="004C43A6"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C43A6" w:rsidRPr="00EB5B0E" w:rsidRDefault="004C43A6"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4C43A6" w:rsidTr="0024600E">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19-24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C43A6" w:rsidRDefault="004C43A6" w:rsidP="004F1DAE">
            <w:pPr>
              <w:rPr>
                <w:rFonts w:ascii="Calibri" w:hAnsi="Calibri" w:cs="Calibri"/>
                <w:b/>
                <w:bCs/>
                <w:color w:val="000000"/>
              </w:rPr>
            </w:pPr>
            <w:r>
              <w:rPr>
                <w:rFonts w:ascii="Calibri" w:hAnsi="Calibri" w:cs="Calibri"/>
                <w:b/>
                <w:bCs/>
                <w:color w:val="000000"/>
              </w:rPr>
              <w:t>75+</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D158CE" w:rsidRDefault="00D158CE" w:rsidP="00AD2424">
            <w:pPr>
              <w:rPr>
                <w:rFonts w:ascii="Calibri" w:hAnsi="Calibri" w:cs="Calibri"/>
                <w:b/>
                <w:bCs/>
                <w:color w:val="000000"/>
              </w:rPr>
            </w:pPr>
            <w:r>
              <w:rPr>
                <w:rFonts w:ascii="Calibri" w:hAnsi="Calibri" w:cs="Calibri"/>
                <w:b/>
                <w:bCs/>
                <w:color w:val="000000"/>
              </w:rPr>
              <w:t xml:space="preserve">Total </w:t>
            </w:r>
            <w:r w:rsidR="000B2FD9">
              <w:rPr>
                <w:rFonts w:ascii="Calibri" w:hAnsi="Calibri" w:cs="Calibri"/>
                <w:b/>
                <w:bCs/>
                <w:color w:val="000000"/>
              </w:rPr>
              <w:t>Sedentary</w:t>
            </w:r>
            <w:r>
              <w:rPr>
                <w:rFonts w:ascii="Calibri" w:hAnsi="Calibri" w:cs="Calibri"/>
                <w:b/>
                <w:bCs/>
                <w:color w:val="000000"/>
              </w:rPr>
              <w:t xml:space="preserve"> Time per Weekend 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14</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10</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13</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55</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52</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58</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62</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55</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60</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51</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50</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4F1DAE">
            <w:pPr>
              <w:jc w:val="right"/>
              <w:rPr>
                <w:rFonts w:ascii="Calibri" w:hAnsi="Calibri" w:cs="Calibri"/>
                <w:color w:val="000000"/>
                <w:sz w:val="22"/>
                <w:szCs w:val="22"/>
              </w:rPr>
            </w:pPr>
            <w:r>
              <w:rPr>
                <w:rFonts w:ascii="Calibri" w:hAnsi="Calibri" w:cs="Calibri"/>
                <w:color w:val="000000"/>
                <w:sz w:val="22"/>
                <w:szCs w:val="22"/>
              </w:rPr>
              <w:t>71</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D158CE">
              <w:rPr>
                <w:rFonts w:ascii="Calibri" w:hAnsi="Calibri" w:cs="Calibri"/>
                <w:b/>
                <w:bCs/>
                <w:color w:val="000000"/>
              </w:rPr>
              <w:t>Time Spent Watching Television per Week</w:t>
            </w:r>
            <w:r>
              <w:rPr>
                <w:rFonts w:ascii="Calibri" w:hAnsi="Calibri" w:cs="Calibri"/>
                <w:b/>
                <w:bCs/>
                <w:color w:val="000000"/>
              </w:rPr>
              <w:t xml:space="preserve">end </w:t>
            </w:r>
            <w:r w:rsidRPr="00D158CE">
              <w:rPr>
                <w:rFonts w:ascii="Calibri" w:hAnsi="Calibri" w:cs="Calibri"/>
                <w:b/>
                <w:bCs/>
                <w:color w:val="000000"/>
              </w:rPr>
              <w:t>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22</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26</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D158CE">
              <w:rPr>
                <w:rFonts w:ascii="Calibri" w:hAnsi="Calibri" w:cs="Calibri"/>
                <w:b/>
                <w:bCs/>
                <w:color w:val="000000"/>
              </w:rPr>
              <w:t xml:space="preserve">Other </w:t>
            </w:r>
            <w:r w:rsidR="000B2FD9">
              <w:rPr>
                <w:rFonts w:ascii="Calibri" w:hAnsi="Calibri" w:cs="Calibri"/>
                <w:b/>
                <w:bCs/>
                <w:color w:val="000000"/>
              </w:rPr>
              <w:t>Sedentary</w:t>
            </w:r>
            <w:r w:rsidRPr="00D158CE">
              <w:rPr>
                <w:rFonts w:ascii="Calibri" w:hAnsi="Calibri" w:cs="Calibri"/>
                <w:b/>
                <w:bCs/>
                <w:color w:val="000000"/>
              </w:rPr>
              <w:t xml:space="preserve"> Time per Week</w:t>
            </w:r>
            <w:r>
              <w:rPr>
                <w:rFonts w:ascii="Calibri" w:hAnsi="Calibri" w:cs="Calibri"/>
                <w:b/>
                <w:bCs/>
                <w:color w:val="000000"/>
              </w:rPr>
              <w:t xml:space="preserve">end </w:t>
            </w:r>
            <w:r w:rsidRPr="00D158CE">
              <w:rPr>
                <w:rFonts w:ascii="Calibri" w:hAnsi="Calibri" w:cs="Calibri"/>
                <w:b/>
                <w:bCs/>
                <w:color w:val="000000"/>
              </w:rPr>
              <w:t>day</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41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37</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32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25</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12</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pPr>
              <w:jc w:val="right"/>
              <w:rPr>
                <w:rFonts w:ascii="Calibri" w:hAnsi="Calibri" w:cs="Calibri"/>
                <w:color w:val="000000"/>
                <w:sz w:val="22"/>
                <w:szCs w:val="22"/>
              </w:rPr>
            </w:pPr>
            <w:r>
              <w:rPr>
                <w:rFonts w:ascii="Calibri" w:hAnsi="Calibri" w:cs="Calibri"/>
                <w:color w:val="000000"/>
                <w:sz w:val="22"/>
                <w:szCs w:val="22"/>
              </w:rPr>
              <w:t>19</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Pr="00990F98" w:rsidRDefault="00D158CE" w:rsidP="00977928">
            <w:pPr>
              <w:jc w:val="left"/>
              <w:rPr>
                <w:rFonts w:ascii="Calibri" w:hAnsi="Calibri" w:cs="Calibri"/>
                <w:b/>
                <w:bCs/>
                <w:color w:val="000000"/>
                <w:sz w:val="18"/>
                <w:szCs w:val="18"/>
              </w:rPr>
            </w:pPr>
            <w:r w:rsidRPr="00990F98">
              <w:rPr>
                <w:rFonts w:ascii="Calibri" w:hAnsi="Calibri" w:cs="Calibri"/>
                <w:b/>
                <w:bCs/>
                <w:color w:val="000000"/>
                <w:sz w:val="18"/>
                <w:szCs w:val="18"/>
              </w:rPr>
              <w:t>Half or more of sedentary time on weekend days spent watching t</w:t>
            </w:r>
            <w:r>
              <w:rPr>
                <w:rFonts w:ascii="Calibri" w:hAnsi="Calibri" w:cs="Calibri"/>
                <w:b/>
                <w:bCs/>
                <w:color w:val="000000"/>
                <w:sz w:val="18"/>
                <w:szCs w:val="18"/>
              </w:rPr>
              <w:t>elevision</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76</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76</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77</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80</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73</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70</w:t>
            </w:r>
          </w:p>
        </w:tc>
      </w:tr>
    </w:tbl>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4C43A6">
      <w:pPr>
        <w:tabs>
          <w:tab w:val="center" w:pos="4075"/>
        </w:tabs>
        <w:autoSpaceDE w:val="0"/>
        <w:autoSpaceDN w:val="0"/>
        <w:adjustRightInd w:val="0"/>
        <w:rPr>
          <w:rFonts w:asciiTheme="minorHAnsi" w:hAnsiTheme="minorHAnsi" w:cstheme="minorHAnsi"/>
          <w:b/>
          <w:sz w:val="22"/>
          <w:szCs w:val="22"/>
        </w:rPr>
      </w:pPr>
    </w:p>
    <w:p w:rsidR="004C43A6" w:rsidRDefault="004C43A6" w:rsidP="00684B5E">
      <w:pPr>
        <w:tabs>
          <w:tab w:val="center" w:pos="4075"/>
        </w:tabs>
        <w:autoSpaceDE w:val="0"/>
        <w:autoSpaceDN w:val="0"/>
        <w:adjustRightInd w:val="0"/>
        <w:rPr>
          <w:rFonts w:asciiTheme="minorHAnsi" w:hAnsiTheme="minorHAnsi" w:cstheme="minorHAnsi"/>
          <w:b/>
          <w:sz w:val="22"/>
          <w:szCs w:val="22"/>
        </w:rPr>
      </w:pPr>
    </w:p>
    <w:p w:rsidR="004C43A6" w:rsidRDefault="004C43A6" w:rsidP="00684B5E">
      <w:pPr>
        <w:tabs>
          <w:tab w:val="center" w:pos="4075"/>
        </w:tabs>
        <w:autoSpaceDE w:val="0"/>
        <w:autoSpaceDN w:val="0"/>
        <w:adjustRightInd w:val="0"/>
        <w:rPr>
          <w:rFonts w:asciiTheme="minorHAnsi" w:hAnsiTheme="minorHAnsi" w:cstheme="minorHAnsi"/>
          <w:b/>
          <w:sz w:val="22"/>
          <w:szCs w:val="22"/>
        </w:rPr>
      </w:pPr>
    </w:p>
    <w:p w:rsidR="00D158CE" w:rsidRDefault="00D158CE" w:rsidP="00684B5E">
      <w:pPr>
        <w:tabs>
          <w:tab w:val="center" w:pos="4075"/>
        </w:tabs>
        <w:autoSpaceDE w:val="0"/>
        <w:autoSpaceDN w:val="0"/>
        <w:adjustRightInd w:val="0"/>
        <w:rPr>
          <w:rFonts w:asciiTheme="minorHAnsi" w:hAnsiTheme="minorHAnsi" w:cstheme="minorHAnsi"/>
          <w:b/>
          <w:sz w:val="22"/>
          <w:szCs w:val="22"/>
        </w:rPr>
      </w:pPr>
    </w:p>
    <w:p w:rsidR="00D158CE" w:rsidRDefault="00D158CE" w:rsidP="00684B5E">
      <w:pPr>
        <w:tabs>
          <w:tab w:val="center" w:pos="4075"/>
        </w:tabs>
        <w:autoSpaceDE w:val="0"/>
        <w:autoSpaceDN w:val="0"/>
        <w:adjustRightInd w:val="0"/>
        <w:rPr>
          <w:rFonts w:asciiTheme="minorHAnsi" w:hAnsiTheme="minorHAnsi" w:cstheme="minorHAnsi"/>
          <w:b/>
          <w:sz w:val="22"/>
          <w:szCs w:val="22"/>
        </w:rPr>
      </w:pPr>
    </w:p>
    <w:p w:rsidR="00D158CE" w:rsidRDefault="00D158CE" w:rsidP="00684B5E">
      <w:pPr>
        <w:tabs>
          <w:tab w:val="center" w:pos="4075"/>
        </w:tabs>
        <w:autoSpaceDE w:val="0"/>
        <w:autoSpaceDN w:val="0"/>
        <w:adjustRightInd w:val="0"/>
        <w:rPr>
          <w:rFonts w:asciiTheme="minorHAnsi" w:hAnsiTheme="minorHAnsi" w:cstheme="minorHAnsi"/>
          <w:b/>
          <w:sz w:val="22"/>
          <w:szCs w:val="22"/>
        </w:rPr>
      </w:pPr>
    </w:p>
    <w:p w:rsidR="00555E2B" w:rsidRDefault="00555E2B" w:rsidP="00684B5E">
      <w:pPr>
        <w:tabs>
          <w:tab w:val="center" w:pos="4075"/>
        </w:tabs>
        <w:autoSpaceDE w:val="0"/>
        <w:autoSpaceDN w:val="0"/>
        <w:adjustRightInd w:val="0"/>
        <w:rPr>
          <w:rFonts w:asciiTheme="minorHAnsi" w:hAnsiTheme="minorHAnsi" w:cstheme="minorHAnsi"/>
          <w:b/>
          <w:sz w:val="22"/>
          <w:szCs w:val="22"/>
        </w:rPr>
      </w:pPr>
    </w:p>
    <w:p w:rsidR="00555E2B" w:rsidRDefault="00555E2B" w:rsidP="00684B5E">
      <w:pPr>
        <w:tabs>
          <w:tab w:val="center" w:pos="4075"/>
        </w:tabs>
        <w:autoSpaceDE w:val="0"/>
        <w:autoSpaceDN w:val="0"/>
        <w:adjustRightInd w:val="0"/>
        <w:rPr>
          <w:rFonts w:asciiTheme="minorHAnsi" w:hAnsiTheme="minorHAnsi" w:cstheme="minorHAnsi"/>
          <w:b/>
          <w:sz w:val="22"/>
          <w:szCs w:val="22"/>
        </w:rPr>
      </w:pPr>
    </w:p>
    <w:p w:rsidR="00D158CE" w:rsidRDefault="00D158CE" w:rsidP="00684B5E">
      <w:pPr>
        <w:tabs>
          <w:tab w:val="center" w:pos="4075"/>
        </w:tabs>
        <w:autoSpaceDE w:val="0"/>
        <w:autoSpaceDN w:val="0"/>
        <w:adjustRightInd w:val="0"/>
        <w:rPr>
          <w:rFonts w:asciiTheme="minorHAnsi" w:hAnsiTheme="minorHAnsi" w:cstheme="minorHAnsi"/>
          <w:b/>
          <w:sz w:val="22"/>
          <w:szCs w:val="22"/>
        </w:rPr>
      </w:pPr>
    </w:p>
    <w:p w:rsidR="00D158CE" w:rsidRPr="00F10695" w:rsidRDefault="000B2FD9" w:rsidP="00D158CE">
      <w:pPr>
        <w:tabs>
          <w:tab w:val="center" w:pos="4075"/>
        </w:tabs>
        <w:autoSpaceDE w:val="0"/>
        <w:autoSpaceDN w:val="0"/>
        <w:adjustRightInd w:val="0"/>
        <w:rPr>
          <w:rFonts w:asciiTheme="minorHAnsi" w:hAnsiTheme="minorHAnsi" w:cstheme="minorHAnsi"/>
          <w:b/>
          <w:sz w:val="22"/>
          <w:szCs w:val="22"/>
        </w:rPr>
      </w:pPr>
      <w:r>
        <w:rPr>
          <w:rFonts w:ascii="Calibri" w:hAnsi="Calibri" w:cs="Calibri"/>
          <w:b/>
          <w:color w:val="000000"/>
          <w:sz w:val="22"/>
          <w:szCs w:val="22"/>
          <w:lang w:eastAsia="en-GB"/>
        </w:rPr>
        <w:t>Sedentary Time</w:t>
      </w:r>
      <w:r w:rsidR="00D158CE">
        <w:rPr>
          <w:rFonts w:ascii="Calibri" w:hAnsi="Calibri" w:cs="Calibri"/>
          <w:b/>
          <w:color w:val="000000"/>
          <w:sz w:val="22"/>
          <w:szCs w:val="22"/>
          <w:lang w:eastAsia="en-GB"/>
        </w:rPr>
        <w:t xml:space="preserve"> on weekend days by BMI category – All respondents aged 19 and over</w:t>
      </w:r>
    </w:p>
    <w:tbl>
      <w:tblPr>
        <w:tblW w:w="15517" w:type="dxa"/>
        <w:tblLook w:val="04A0" w:firstRow="1" w:lastRow="0" w:firstColumn="1" w:lastColumn="0" w:noHBand="0" w:noVBand="1"/>
      </w:tblPr>
      <w:tblGrid>
        <w:gridCol w:w="2210"/>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D158CE" w:rsidRPr="00EB5B0E" w:rsidTr="0024600E">
        <w:trPr>
          <w:trHeight w:val="227"/>
        </w:trPr>
        <w:tc>
          <w:tcPr>
            <w:tcW w:w="2210"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Pr="00BE1A84" w:rsidRDefault="00D158CE" w:rsidP="00AD2424">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953661" w:rsidRDefault="00D158CE" w:rsidP="00AD2424">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951E81" w:rsidRDefault="00D158CE" w:rsidP="00AD2424">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EB5B0E" w:rsidRDefault="00D158CE" w:rsidP="00AD2424">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D158CE" w:rsidRPr="00EB5B0E" w:rsidRDefault="00D158CE" w:rsidP="00AD2424">
            <w:pPr>
              <w:jc w:val="center"/>
              <w:rPr>
                <w:rFonts w:ascii="Calibri" w:hAnsi="Calibri" w:cs="Calibri"/>
                <w:b/>
                <w:bCs/>
                <w:color w:val="000000"/>
                <w:lang w:eastAsia="en-GB"/>
              </w:rPr>
            </w:pPr>
            <w:r>
              <w:rPr>
                <w:rFonts w:ascii="Calibri" w:hAnsi="Calibri" w:cs="Calibri"/>
                <w:b/>
                <w:bCs/>
                <w:color w:val="000000"/>
                <w:lang w:eastAsia="en-GB"/>
              </w:rPr>
              <w:t>Age</w:t>
            </w:r>
          </w:p>
        </w:tc>
      </w:tr>
      <w:tr w:rsidR="00D158CE" w:rsidTr="0024600E">
        <w:trPr>
          <w:trHeight w:val="397"/>
        </w:trPr>
        <w:tc>
          <w:tcPr>
            <w:tcW w:w="2210"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Pr="00462493" w:rsidRDefault="00D158CE" w:rsidP="00AD2424">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D158CE" w:rsidRPr="00462493" w:rsidRDefault="00D158CE" w:rsidP="00AD2424">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19-24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D158CE" w:rsidRDefault="00D158CE" w:rsidP="00AD2424">
            <w:pPr>
              <w:rPr>
                <w:rFonts w:ascii="Calibri" w:hAnsi="Calibri" w:cs="Calibri"/>
                <w:b/>
                <w:bCs/>
                <w:color w:val="000000"/>
              </w:rPr>
            </w:pPr>
            <w:r>
              <w:rPr>
                <w:rFonts w:ascii="Calibri" w:hAnsi="Calibri" w:cs="Calibri"/>
                <w:b/>
                <w:bCs/>
                <w:color w:val="000000"/>
              </w:rPr>
              <w:t>75+</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E241EA">
              <w:rPr>
                <w:rFonts w:ascii="Calibri" w:hAnsi="Calibri" w:cs="Calibri"/>
                <w:b/>
                <w:bCs/>
                <w:color w:val="000000"/>
              </w:rPr>
              <w:t xml:space="preserve">All respondents aged over 19 who are classed as Obese </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61</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66</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57</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65</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54</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69</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56</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55</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69</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59</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74</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E241EA">
              <w:rPr>
                <w:rFonts w:ascii="Calibri" w:hAnsi="Calibri" w:cs="Calibri"/>
                <w:b/>
                <w:bCs/>
                <w:color w:val="000000"/>
              </w:rPr>
              <w:t xml:space="preserve">All respondents aged over 19 who are classed as Overweight </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7</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54</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58</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59</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46</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64</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43</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58</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45</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68</w:t>
            </w:r>
          </w:p>
        </w:tc>
      </w:tr>
      <w:tr w:rsidR="00D158CE" w:rsidTr="0024600E">
        <w:trPr>
          <w:trHeight w:val="283"/>
        </w:trPr>
        <w:tc>
          <w:tcPr>
            <w:tcW w:w="15517" w:type="dxa"/>
            <w:gridSpan w:val="25"/>
            <w:tcBorders>
              <w:top w:val="single" w:sz="12" w:space="0" w:color="auto"/>
              <w:left w:val="single" w:sz="12" w:space="0" w:color="auto"/>
              <w:bottom w:val="single" w:sz="12" w:space="0" w:color="auto"/>
              <w:right w:val="single" w:sz="12" w:space="0" w:color="auto"/>
            </w:tcBorders>
            <w:shd w:val="clear" w:color="auto" w:fill="808080" w:themeFill="background1" w:themeFillShade="80"/>
            <w:noWrap/>
            <w:tcMar>
              <w:left w:w="57" w:type="dxa"/>
              <w:right w:w="57" w:type="dxa"/>
            </w:tcMar>
            <w:vAlign w:val="bottom"/>
            <w:hideMark/>
          </w:tcPr>
          <w:p w:rsidR="00D158CE" w:rsidRPr="00E241EA" w:rsidRDefault="00D158CE" w:rsidP="00AD2424">
            <w:pPr>
              <w:rPr>
                <w:rFonts w:ascii="Calibri" w:hAnsi="Calibri" w:cs="Calibri"/>
                <w:color w:val="000000"/>
              </w:rPr>
            </w:pPr>
            <w:r w:rsidRPr="00E241EA">
              <w:rPr>
                <w:rFonts w:ascii="Calibri" w:hAnsi="Calibri" w:cs="Calibri"/>
                <w:b/>
                <w:bCs/>
                <w:color w:val="000000"/>
              </w:rPr>
              <w:t xml:space="preserve">All respondents aged over 19 who are classed as Normal weight or Underweight </w:t>
            </w:r>
          </w:p>
        </w:tc>
      </w:tr>
      <w:tr w:rsidR="00D158CE" w:rsidTr="0024600E">
        <w:trPr>
          <w:trHeight w:val="283"/>
        </w:trPr>
        <w:tc>
          <w:tcPr>
            <w:tcW w:w="2210"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 xml:space="preserve">Less than 1 hour </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1-2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9</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2-3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r>
      <w:tr w:rsidR="00D158CE" w:rsidTr="0024600E">
        <w:trPr>
          <w:trHeight w:val="283"/>
        </w:trPr>
        <w:tc>
          <w:tcPr>
            <w:tcW w:w="2210"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3-4 hours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6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25</w:t>
            </w:r>
          </w:p>
        </w:tc>
        <w:tc>
          <w:tcPr>
            <w:tcW w:w="44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16</w:t>
            </w:r>
          </w:p>
        </w:tc>
      </w:tr>
      <w:tr w:rsidR="00D158CE" w:rsidTr="0024600E">
        <w:trPr>
          <w:trHeight w:val="283"/>
        </w:trPr>
        <w:tc>
          <w:tcPr>
            <w:tcW w:w="2210" w:type="dxa"/>
            <w:tcBorders>
              <w:top w:val="single" w:sz="4"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D158CE" w:rsidRDefault="00D158CE" w:rsidP="00AD2424">
            <w:pPr>
              <w:rPr>
                <w:rFonts w:ascii="Calibri" w:hAnsi="Calibri" w:cs="Calibri"/>
                <w:b/>
                <w:bCs/>
                <w:color w:val="000000"/>
              </w:rPr>
            </w:pPr>
            <w:r>
              <w:rPr>
                <w:rFonts w:ascii="Calibri" w:hAnsi="Calibri" w:cs="Calibri"/>
                <w:b/>
                <w:bCs/>
                <w:color w:val="000000"/>
              </w:rPr>
              <w:t>Over 4 hours</w:t>
            </w:r>
          </w:p>
        </w:tc>
        <w:tc>
          <w:tcPr>
            <w:tcW w:w="713"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5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50</w:t>
            </w:r>
          </w:p>
        </w:tc>
        <w:tc>
          <w:tcPr>
            <w:tcW w:w="718"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47</w:t>
            </w:r>
          </w:p>
        </w:tc>
        <w:tc>
          <w:tcPr>
            <w:tcW w:w="63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52</w:t>
            </w:r>
          </w:p>
        </w:tc>
        <w:tc>
          <w:tcPr>
            <w:tcW w:w="553"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40</w:t>
            </w:r>
          </w:p>
        </w:tc>
        <w:tc>
          <w:tcPr>
            <w:tcW w:w="6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48</w:t>
            </w:r>
          </w:p>
        </w:tc>
        <w:tc>
          <w:tcPr>
            <w:tcW w:w="739"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47</w:t>
            </w:r>
          </w:p>
        </w:tc>
        <w:tc>
          <w:tcPr>
            <w:tcW w:w="880" w:type="dxa"/>
            <w:tcBorders>
              <w:top w:val="single" w:sz="4" w:space="0" w:color="auto"/>
              <w:left w:val="nil"/>
              <w:bottom w:val="single" w:sz="12" w:space="0" w:color="auto"/>
              <w:right w:val="single" w:sz="4"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42</w:t>
            </w:r>
          </w:p>
        </w:tc>
        <w:tc>
          <w:tcPr>
            <w:tcW w:w="825" w:type="dxa"/>
            <w:tcBorders>
              <w:top w:val="single" w:sz="4" w:space="0" w:color="auto"/>
              <w:left w:val="nil"/>
              <w:bottom w:val="single" w:sz="12" w:space="0" w:color="auto"/>
              <w:right w:val="single" w:sz="12" w:space="0" w:color="auto"/>
            </w:tcBorders>
            <w:shd w:val="clear" w:color="auto" w:fill="D9D9D9" w:themeFill="background1" w:themeFillShade="D9"/>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52</w:t>
            </w:r>
          </w:p>
        </w:tc>
        <w:tc>
          <w:tcPr>
            <w:tcW w:w="871" w:type="dxa"/>
            <w:gridSpan w:val="2"/>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single" w:sz="4" w:space="0" w:color="auto"/>
              <w:left w:val="nil"/>
              <w:bottom w:val="single" w:sz="12" w:space="0" w:color="auto"/>
              <w:right w:val="single" w:sz="4"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45</w:t>
            </w:r>
          </w:p>
        </w:tc>
        <w:tc>
          <w:tcPr>
            <w:tcW w:w="871" w:type="dxa"/>
            <w:tcBorders>
              <w:top w:val="single" w:sz="4" w:space="0" w:color="auto"/>
              <w:left w:val="nil"/>
              <w:bottom w:val="single" w:sz="12" w:space="0" w:color="auto"/>
              <w:right w:val="single" w:sz="12" w:space="0" w:color="auto"/>
            </w:tcBorders>
            <w:shd w:val="clear" w:color="auto" w:fill="F2F2F2" w:themeFill="background1" w:themeFillShade="F2"/>
            <w:noWrap/>
            <w:vAlign w:val="bottom"/>
            <w:hideMark/>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46</w:t>
            </w:r>
          </w:p>
        </w:tc>
        <w:tc>
          <w:tcPr>
            <w:tcW w:w="440" w:type="dxa"/>
            <w:gridSpan w:val="2"/>
            <w:tcBorders>
              <w:top w:val="single" w:sz="4" w:space="0" w:color="auto"/>
              <w:left w:val="nil"/>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bottom"/>
          </w:tcPr>
          <w:p w:rsidR="00D158CE" w:rsidRDefault="00D158CE" w:rsidP="00AD2424">
            <w:pPr>
              <w:jc w:val="right"/>
              <w:rPr>
                <w:rFonts w:ascii="Calibri" w:hAnsi="Calibri" w:cs="Calibri"/>
                <w:color w:val="000000"/>
                <w:sz w:val="22"/>
                <w:szCs w:val="22"/>
              </w:rPr>
            </w:pPr>
            <w:r>
              <w:rPr>
                <w:rFonts w:ascii="Calibri" w:hAnsi="Calibri" w:cs="Calibri"/>
                <w:color w:val="000000"/>
                <w:sz w:val="22"/>
                <w:szCs w:val="22"/>
              </w:rPr>
              <w:t>59</w:t>
            </w:r>
          </w:p>
        </w:tc>
      </w:tr>
    </w:tbl>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D158CE" w:rsidRDefault="00D158CE" w:rsidP="00D158CE">
      <w:pPr>
        <w:tabs>
          <w:tab w:val="center" w:pos="4075"/>
        </w:tabs>
        <w:autoSpaceDE w:val="0"/>
        <w:autoSpaceDN w:val="0"/>
        <w:adjustRightInd w:val="0"/>
        <w:rPr>
          <w:rFonts w:asciiTheme="minorHAnsi" w:hAnsiTheme="minorHAnsi" w:cstheme="minorHAnsi"/>
          <w:b/>
          <w:sz w:val="22"/>
          <w:szCs w:val="22"/>
        </w:rPr>
      </w:pPr>
    </w:p>
    <w:p w:rsidR="00684B5E" w:rsidRPr="00AC756F" w:rsidRDefault="00684B5E" w:rsidP="00AC756F">
      <w:pPr>
        <w:pStyle w:val="Heading3"/>
        <w:spacing w:before="0"/>
        <w:rPr>
          <w:rFonts w:asciiTheme="minorHAnsi" w:hAnsiTheme="minorHAnsi" w:cstheme="minorHAnsi"/>
          <w:color w:val="auto"/>
          <w:sz w:val="22"/>
          <w:szCs w:val="22"/>
        </w:rPr>
      </w:pPr>
      <w:bookmarkStart w:id="80" w:name="_Ref381946709"/>
      <w:r w:rsidRPr="00AC756F">
        <w:rPr>
          <w:rFonts w:asciiTheme="minorHAnsi" w:hAnsiTheme="minorHAnsi" w:cstheme="minorHAnsi"/>
          <w:color w:val="auto"/>
          <w:sz w:val="22"/>
          <w:szCs w:val="22"/>
        </w:rPr>
        <w:t>Child Health – Health in General</w:t>
      </w:r>
      <w:bookmarkEnd w:id="80"/>
    </w:p>
    <w:tbl>
      <w:tblPr>
        <w:tblW w:w="12587" w:type="dxa"/>
        <w:tblInd w:w="93" w:type="dxa"/>
        <w:tblLook w:val="04A0" w:firstRow="1" w:lastRow="0" w:firstColumn="1" w:lastColumn="0" w:noHBand="0" w:noVBand="1"/>
      </w:tblPr>
      <w:tblGrid>
        <w:gridCol w:w="2551"/>
        <w:gridCol w:w="815"/>
        <w:gridCol w:w="732"/>
        <w:gridCol w:w="655"/>
        <w:gridCol w:w="790"/>
        <w:gridCol w:w="983"/>
        <w:gridCol w:w="841"/>
        <w:gridCol w:w="982"/>
        <w:gridCol w:w="927"/>
        <w:gridCol w:w="973"/>
        <w:gridCol w:w="455"/>
        <w:gridCol w:w="455"/>
        <w:gridCol w:w="455"/>
        <w:gridCol w:w="973"/>
      </w:tblGrid>
      <w:tr w:rsidR="00684B5E" w:rsidRPr="00EB5B0E" w:rsidTr="00684B5E">
        <w:trPr>
          <w:trHeight w:val="227"/>
        </w:trPr>
        <w:tc>
          <w:tcPr>
            <w:tcW w:w="255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84B5E" w:rsidRPr="00BE1A84" w:rsidRDefault="00684B5E" w:rsidP="00A713ED">
            <w:pPr>
              <w:rPr>
                <w:rFonts w:ascii="Calibri" w:hAnsi="Calibri" w:cs="Calibri"/>
                <w:b/>
                <w:bCs/>
                <w:color w:val="000000"/>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84B5E" w:rsidRPr="00953661" w:rsidRDefault="00684B5E" w:rsidP="00A713ED">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84B5E" w:rsidRPr="00462493" w:rsidTr="00684B5E">
        <w:trPr>
          <w:trHeight w:val="540"/>
        </w:trPr>
        <w:tc>
          <w:tcPr>
            <w:tcW w:w="255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84B5E" w:rsidRPr="00462493" w:rsidRDefault="00684B5E" w:rsidP="00A713ED">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84B5E" w:rsidRPr="00462493" w:rsidTr="00684B5E">
        <w:trPr>
          <w:trHeight w:val="300"/>
        </w:trPr>
        <w:tc>
          <w:tcPr>
            <w:tcW w:w="255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Very Good</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62</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62</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65</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64</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60</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61</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62</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64</w:t>
            </w:r>
          </w:p>
        </w:tc>
      </w:tr>
      <w:tr w:rsidR="00684B5E" w:rsidRPr="00462493" w:rsidTr="00684B5E">
        <w:trPr>
          <w:trHeight w:val="300"/>
        </w:trPr>
        <w:tc>
          <w:tcPr>
            <w:tcW w:w="255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Good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30</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30</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30</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29</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33</w:t>
            </w:r>
          </w:p>
        </w:tc>
      </w:tr>
      <w:tr w:rsidR="00684B5E" w:rsidRPr="00462493" w:rsidTr="00684B5E">
        <w:trPr>
          <w:trHeight w:val="300"/>
        </w:trPr>
        <w:tc>
          <w:tcPr>
            <w:tcW w:w="255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Fair</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r>
      <w:tr w:rsidR="00684B5E" w:rsidRPr="00462493" w:rsidTr="00684B5E">
        <w:trPr>
          <w:trHeight w:val="300"/>
        </w:trPr>
        <w:tc>
          <w:tcPr>
            <w:tcW w:w="255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Bad / Very bad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r>
    </w:tbl>
    <w:p w:rsidR="00684B5E" w:rsidRPr="00F642CF" w:rsidRDefault="00684B5E" w:rsidP="00684B5E">
      <w:pPr>
        <w:tabs>
          <w:tab w:val="center" w:pos="4075"/>
        </w:tabs>
        <w:autoSpaceDE w:val="0"/>
        <w:autoSpaceDN w:val="0"/>
        <w:adjustRightInd w:val="0"/>
        <w:rPr>
          <w:rFonts w:asciiTheme="minorHAnsi" w:hAnsiTheme="minorHAnsi" w:cstheme="minorHAnsi"/>
          <w:b/>
          <w:sz w:val="8"/>
          <w:szCs w:val="8"/>
        </w:rPr>
      </w:pPr>
    </w:p>
    <w:p w:rsidR="00684B5E" w:rsidRDefault="00684B5E" w:rsidP="00684B5E">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Child Health – Health over last 12 months</w:t>
      </w:r>
    </w:p>
    <w:tbl>
      <w:tblPr>
        <w:tblW w:w="12587" w:type="dxa"/>
        <w:tblInd w:w="93" w:type="dxa"/>
        <w:tblLook w:val="04A0" w:firstRow="1" w:lastRow="0" w:firstColumn="1" w:lastColumn="0" w:noHBand="0" w:noVBand="1"/>
      </w:tblPr>
      <w:tblGrid>
        <w:gridCol w:w="2551"/>
        <w:gridCol w:w="815"/>
        <w:gridCol w:w="732"/>
        <w:gridCol w:w="655"/>
        <w:gridCol w:w="790"/>
        <w:gridCol w:w="983"/>
        <w:gridCol w:w="841"/>
        <w:gridCol w:w="982"/>
        <w:gridCol w:w="927"/>
        <w:gridCol w:w="973"/>
        <w:gridCol w:w="455"/>
        <w:gridCol w:w="455"/>
        <w:gridCol w:w="455"/>
        <w:gridCol w:w="973"/>
      </w:tblGrid>
      <w:tr w:rsidR="00684B5E" w:rsidRPr="00EB5B0E" w:rsidTr="00684B5E">
        <w:trPr>
          <w:trHeight w:val="227"/>
        </w:trPr>
        <w:tc>
          <w:tcPr>
            <w:tcW w:w="255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84B5E" w:rsidRPr="00BE1A84" w:rsidRDefault="00684B5E" w:rsidP="00A713ED">
            <w:pPr>
              <w:rPr>
                <w:rFonts w:ascii="Calibri" w:hAnsi="Calibri" w:cs="Calibri"/>
                <w:b/>
                <w:bCs/>
                <w:color w:val="000000"/>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84B5E" w:rsidRPr="00953661" w:rsidRDefault="00684B5E" w:rsidP="00A713ED">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84B5E" w:rsidRPr="00462493" w:rsidTr="00684B5E">
        <w:trPr>
          <w:trHeight w:val="540"/>
        </w:trPr>
        <w:tc>
          <w:tcPr>
            <w:tcW w:w="255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84B5E" w:rsidRPr="00462493" w:rsidRDefault="00684B5E" w:rsidP="00A713ED">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84B5E" w:rsidRPr="00462493" w:rsidTr="00684B5E">
        <w:trPr>
          <w:trHeight w:val="300"/>
        </w:trPr>
        <w:tc>
          <w:tcPr>
            <w:tcW w:w="255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Good</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82</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83</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80</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80</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83</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84</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79</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81</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86</w:t>
            </w:r>
          </w:p>
        </w:tc>
      </w:tr>
      <w:tr w:rsidR="00684B5E" w:rsidRPr="00462493" w:rsidTr="00684B5E">
        <w:trPr>
          <w:trHeight w:val="300"/>
        </w:trPr>
        <w:tc>
          <w:tcPr>
            <w:tcW w:w="255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Fairly good</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12</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18</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11</w:t>
            </w:r>
          </w:p>
        </w:tc>
      </w:tr>
      <w:tr w:rsidR="00684B5E" w:rsidRPr="00462493" w:rsidTr="00684B5E">
        <w:trPr>
          <w:trHeight w:val="300"/>
        </w:trPr>
        <w:tc>
          <w:tcPr>
            <w:tcW w:w="255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Not good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3</w:t>
            </w:r>
          </w:p>
        </w:tc>
      </w:tr>
    </w:tbl>
    <w:p w:rsidR="00684B5E" w:rsidRPr="00F642CF" w:rsidRDefault="00684B5E" w:rsidP="00684B5E">
      <w:pPr>
        <w:tabs>
          <w:tab w:val="center" w:pos="4075"/>
        </w:tabs>
        <w:autoSpaceDE w:val="0"/>
        <w:autoSpaceDN w:val="0"/>
        <w:adjustRightInd w:val="0"/>
        <w:rPr>
          <w:rFonts w:asciiTheme="minorHAnsi" w:hAnsiTheme="minorHAnsi" w:cstheme="minorHAnsi"/>
          <w:b/>
          <w:sz w:val="8"/>
          <w:szCs w:val="8"/>
        </w:rPr>
      </w:pPr>
    </w:p>
    <w:p w:rsidR="00684B5E" w:rsidRDefault="00684B5E" w:rsidP="00684B5E">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Child Health – Longstanding Illness</w:t>
      </w:r>
    </w:p>
    <w:tbl>
      <w:tblPr>
        <w:tblW w:w="12587" w:type="dxa"/>
        <w:tblInd w:w="93" w:type="dxa"/>
        <w:tblLook w:val="04A0" w:firstRow="1" w:lastRow="0" w:firstColumn="1" w:lastColumn="0" w:noHBand="0" w:noVBand="1"/>
      </w:tblPr>
      <w:tblGrid>
        <w:gridCol w:w="2551"/>
        <w:gridCol w:w="815"/>
        <w:gridCol w:w="732"/>
        <w:gridCol w:w="655"/>
        <w:gridCol w:w="790"/>
        <w:gridCol w:w="983"/>
        <w:gridCol w:w="841"/>
        <w:gridCol w:w="982"/>
        <w:gridCol w:w="927"/>
        <w:gridCol w:w="973"/>
        <w:gridCol w:w="455"/>
        <w:gridCol w:w="455"/>
        <w:gridCol w:w="455"/>
        <w:gridCol w:w="973"/>
      </w:tblGrid>
      <w:tr w:rsidR="00684B5E" w:rsidRPr="00EB5B0E" w:rsidTr="00684B5E">
        <w:trPr>
          <w:trHeight w:val="227"/>
        </w:trPr>
        <w:tc>
          <w:tcPr>
            <w:tcW w:w="255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84B5E" w:rsidRPr="00BE1A84" w:rsidRDefault="00684B5E" w:rsidP="00A713ED">
            <w:pPr>
              <w:rPr>
                <w:rFonts w:ascii="Calibri" w:hAnsi="Calibri" w:cs="Calibri"/>
                <w:b/>
                <w:bCs/>
                <w:color w:val="000000"/>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84B5E" w:rsidRPr="00953661" w:rsidRDefault="00684B5E" w:rsidP="00A713ED">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EB5B0E" w:rsidRDefault="00684B5E" w:rsidP="00A713ED">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84B5E" w:rsidRPr="00462493" w:rsidTr="00684B5E">
        <w:trPr>
          <w:trHeight w:val="540"/>
        </w:trPr>
        <w:tc>
          <w:tcPr>
            <w:tcW w:w="255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84B5E" w:rsidRPr="00462493" w:rsidRDefault="00684B5E" w:rsidP="00A713ED">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84B5E" w:rsidRPr="00462493" w:rsidRDefault="00684B5E" w:rsidP="00A713ED">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84B5E" w:rsidRPr="00462493" w:rsidTr="00684B5E">
        <w:trPr>
          <w:trHeight w:val="300"/>
        </w:trPr>
        <w:tc>
          <w:tcPr>
            <w:tcW w:w="255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Has an illness</w:t>
            </w:r>
          </w:p>
        </w:tc>
        <w:tc>
          <w:tcPr>
            <w:tcW w:w="8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16</w:t>
            </w:r>
          </w:p>
        </w:tc>
        <w:tc>
          <w:tcPr>
            <w:tcW w:w="73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17</w:t>
            </w:r>
          </w:p>
        </w:tc>
        <w:tc>
          <w:tcPr>
            <w:tcW w:w="655"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79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20</w:t>
            </w:r>
          </w:p>
        </w:tc>
        <w:tc>
          <w:tcPr>
            <w:tcW w:w="983"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16</w:t>
            </w:r>
          </w:p>
        </w:tc>
        <w:tc>
          <w:tcPr>
            <w:tcW w:w="84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16</w:t>
            </w:r>
          </w:p>
        </w:tc>
        <w:tc>
          <w:tcPr>
            <w:tcW w:w="982"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927"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c>
          <w:tcPr>
            <w:tcW w:w="973"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19</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15</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11</w:t>
            </w:r>
          </w:p>
        </w:tc>
        <w:tc>
          <w:tcPr>
            <w:tcW w:w="455"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16</w:t>
            </w:r>
          </w:p>
        </w:tc>
        <w:tc>
          <w:tcPr>
            <w:tcW w:w="97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19</w:t>
            </w:r>
          </w:p>
        </w:tc>
      </w:tr>
      <w:tr w:rsidR="00684B5E" w:rsidRPr="00462493" w:rsidTr="00684B5E">
        <w:trPr>
          <w:trHeight w:val="300"/>
        </w:trPr>
        <w:tc>
          <w:tcPr>
            <w:tcW w:w="255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Has a limiting illness</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5</w:t>
            </w:r>
          </w:p>
        </w:tc>
      </w:tr>
      <w:tr w:rsidR="00684B5E" w:rsidRPr="00462493" w:rsidTr="00684B5E">
        <w:trPr>
          <w:trHeight w:val="300"/>
        </w:trPr>
        <w:tc>
          <w:tcPr>
            <w:tcW w:w="255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84B5E" w:rsidRPr="005A2D37" w:rsidRDefault="00684B5E">
            <w:pPr>
              <w:rPr>
                <w:rFonts w:ascii="Calibri" w:hAnsi="Calibri" w:cs="Calibri"/>
                <w:b/>
                <w:color w:val="000000"/>
              </w:rPr>
            </w:pPr>
            <w:r w:rsidRPr="005A2D37">
              <w:rPr>
                <w:rFonts w:ascii="Calibri" w:hAnsi="Calibri" w:cs="Calibri"/>
                <w:b/>
                <w:color w:val="000000"/>
              </w:rPr>
              <w:t>Has a non-limiting illness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11</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6</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9</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84B5E" w:rsidRDefault="00684B5E">
            <w:pPr>
              <w:jc w:val="right"/>
              <w:rPr>
                <w:rFonts w:ascii="Calibri" w:hAnsi="Calibri" w:cs="Calibri"/>
                <w:color w:val="000000"/>
                <w:sz w:val="22"/>
                <w:szCs w:val="22"/>
              </w:rPr>
            </w:pPr>
            <w:r>
              <w:rPr>
                <w:rFonts w:ascii="Calibri" w:hAnsi="Calibri" w:cs="Calibri"/>
                <w:color w:val="000000"/>
                <w:sz w:val="22"/>
                <w:szCs w:val="22"/>
              </w:rPr>
              <w:t>14</w:t>
            </w:r>
          </w:p>
        </w:tc>
      </w:tr>
    </w:tbl>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4C43A6" w:rsidRPr="00AC756F" w:rsidRDefault="0067690C" w:rsidP="00AC756F">
      <w:pPr>
        <w:pStyle w:val="Heading3"/>
        <w:spacing w:before="0"/>
        <w:rPr>
          <w:rFonts w:asciiTheme="minorHAnsi" w:hAnsiTheme="minorHAnsi" w:cstheme="minorHAnsi"/>
          <w:color w:val="auto"/>
          <w:sz w:val="22"/>
          <w:szCs w:val="22"/>
        </w:rPr>
      </w:pPr>
      <w:bookmarkStart w:id="81" w:name="_Ref381946715"/>
      <w:r w:rsidRPr="00AC756F">
        <w:rPr>
          <w:rFonts w:asciiTheme="minorHAnsi" w:hAnsiTheme="minorHAnsi" w:cstheme="minorHAnsi"/>
          <w:color w:val="auto"/>
          <w:sz w:val="22"/>
          <w:szCs w:val="22"/>
        </w:rPr>
        <w:t xml:space="preserve">Child IOTF </w:t>
      </w:r>
      <w:r w:rsidR="004C43A6" w:rsidRPr="00AC756F">
        <w:rPr>
          <w:rFonts w:asciiTheme="minorHAnsi" w:hAnsiTheme="minorHAnsi" w:cstheme="minorHAnsi"/>
          <w:color w:val="auto"/>
          <w:sz w:val="22"/>
          <w:szCs w:val="22"/>
        </w:rPr>
        <w:t>BMI Categories – Children aged 2-10</w:t>
      </w:r>
      <w:bookmarkEnd w:id="81"/>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4C43A6"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4C43A6" w:rsidRPr="00BE1A84" w:rsidRDefault="004C43A6" w:rsidP="004F1DAE">
            <w:pPr>
              <w:rPr>
                <w:rFonts w:ascii="Calibri" w:hAnsi="Calibri" w:cs="Calibri"/>
                <w:b/>
                <w:bCs/>
                <w:color w:val="000000"/>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4C43A6" w:rsidRPr="00953661" w:rsidRDefault="004C43A6"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EB5B0E" w:rsidRDefault="004C43A6"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4C43A6"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4C43A6" w:rsidRPr="00462493" w:rsidRDefault="004C43A6"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4C43A6" w:rsidRPr="00462493" w:rsidRDefault="004C43A6"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4C43A6"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Underweight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10</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0</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r>
      <w:tr w:rsidR="004C43A6"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Normal weight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73</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67</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78</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76</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77</w:t>
            </w:r>
          </w:p>
        </w:tc>
      </w:tr>
      <w:tr w:rsidR="004C43A6"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4C43A6" w:rsidRDefault="004C43A6" w:rsidP="004F1DAE">
            <w:pPr>
              <w:rPr>
                <w:rFonts w:ascii="Calibri" w:hAnsi="Calibri" w:cs="Calibri"/>
                <w:b/>
                <w:bCs/>
                <w:color w:val="000000"/>
              </w:rPr>
            </w:pPr>
            <w:r>
              <w:rPr>
                <w:rFonts w:ascii="Calibri" w:hAnsi="Calibri" w:cs="Calibri"/>
                <w:b/>
                <w:bCs/>
                <w:color w:val="000000"/>
              </w:rPr>
              <w:t>Overweight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22</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18</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31</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11</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25</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19</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15</w:t>
            </w:r>
          </w:p>
        </w:tc>
      </w:tr>
      <w:tr w:rsidR="004C43A6" w:rsidRPr="00462493" w:rsidTr="004F1DAE">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4C43A6" w:rsidRDefault="004C43A6" w:rsidP="004F1DAE">
            <w:pPr>
              <w:rPr>
                <w:rFonts w:ascii="Calibri" w:hAnsi="Calibri" w:cs="Calibri"/>
                <w:b/>
                <w:bCs/>
                <w:color w:val="000000"/>
              </w:rPr>
            </w:pPr>
            <w:r>
              <w:rPr>
                <w:rFonts w:ascii="Calibri" w:hAnsi="Calibri" w:cs="Calibri"/>
                <w:b/>
                <w:bCs/>
                <w:color w:val="000000"/>
              </w:rPr>
              <w:t>Obese</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7</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6</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5</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C43A6" w:rsidRDefault="004C43A6" w:rsidP="004F1DAE">
            <w:pPr>
              <w:jc w:val="right"/>
              <w:rPr>
                <w:rFonts w:ascii="Calibri" w:hAnsi="Calibri" w:cs="Calibri"/>
                <w:color w:val="000000"/>
                <w:sz w:val="22"/>
                <w:szCs w:val="22"/>
              </w:rPr>
            </w:pPr>
            <w:r>
              <w:rPr>
                <w:rFonts w:ascii="Calibri" w:hAnsi="Calibri" w:cs="Calibri"/>
                <w:color w:val="000000"/>
                <w:sz w:val="22"/>
                <w:szCs w:val="22"/>
              </w:rPr>
              <w:t>4</w:t>
            </w:r>
          </w:p>
        </w:tc>
      </w:tr>
    </w:tbl>
    <w:p w:rsidR="004E2A30" w:rsidRDefault="004E2A30" w:rsidP="00873259">
      <w:pPr>
        <w:tabs>
          <w:tab w:val="center" w:pos="4075"/>
        </w:tabs>
        <w:autoSpaceDE w:val="0"/>
        <w:autoSpaceDN w:val="0"/>
        <w:adjustRightInd w:val="0"/>
        <w:rPr>
          <w:rFonts w:asciiTheme="minorHAnsi" w:hAnsiTheme="minorHAnsi" w:cstheme="minorHAnsi"/>
          <w:b/>
          <w:sz w:val="22"/>
          <w:szCs w:val="22"/>
        </w:rPr>
      </w:pPr>
    </w:p>
    <w:p w:rsidR="00873259" w:rsidRPr="00AC756F" w:rsidRDefault="00873259" w:rsidP="00AC756F">
      <w:pPr>
        <w:pStyle w:val="Heading3"/>
        <w:spacing w:before="0"/>
        <w:rPr>
          <w:rFonts w:asciiTheme="minorHAnsi" w:hAnsiTheme="minorHAnsi" w:cstheme="minorHAnsi"/>
          <w:color w:val="auto"/>
          <w:sz w:val="22"/>
          <w:szCs w:val="22"/>
        </w:rPr>
      </w:pPr>
      <w:bookmarkStart w:id="82" w:name="_Ref381946736"/>
      <w:r w:rsidRPr="00AC756F">
        <w:rPr>
          <w:rFonts w:asciiTheme="minorHAnsi" w:hAnsiTheme="minorHAnsi" w:cstheme="minorHAnsi"/>
          <w:color w:val="auto"/>
          <w:sz w:val="22"/>
          <w:szCs w:val="22"/>
        </w:rPr>
        <w:t>Opinion on breastfeeding</w:t>
      </w:r>
      <w:r w:rsidR="004A37EA" w:rsidRPr="00AC756F">
        <w:rPr>
          <w:rFonts w:asciiTheme="minorHAnsi" w:hAnsiTheme="minorHAnsi" w:cstheme="minorHAnsi"/>
          <w:color w:val="auto"/>
          <w:sz w:val="22"/>
          <w:szCs w:val="22"/>
        </w:rPr>
        <w:t xml:space="preserve"> and protection from disease</w:t>
      </w:r>
      <w:r w:rsidRPr="00AC756F">
        <w:rPr>
          <w:rFonts w:asciiTheme="minorHAnsi" w:hAnsiTheme="minorHAnsi" w:cstheme="minorHAnsi"/>
          <w:color w:val="auto"/>
          <w:sz w:val="22"/>
          <w:szCs w:val="22"/>
        </w:rPr>
        <w:t xml:space="preserve"> – All Respondents</w:t>
      </w:r>
      <w:bookmarkEnd w:id="82"/>
    </w:p>
    <w:tbl>
      <w:tblPr>
        <w:tblW w:w="14955" w:type="dxa"/>
        <w:tblLook w:val="04A0" w:firstRow="1" w:lastRow="0" w:firstColumn="1" w:lastColumn="0" w:noHBand="0" w:noVBand="1"/>
      </w:tblPr>
      <w:tblGrid>
        <w:gridCol w:w="1644"/>
        <w:gridCol w:w="713"/>
        <w:gridCol w:w="538"/>
        <w:gridCol w:w="718"/>
        <w:gridCol w:w="630"/>
        <w:gridCol w:w="553"/>
        <w:gridCol w:w="8"/>
        <w:gridCol w:w="680"/>
        <w:gridCol w:w="881"/>
        <w:gridCol w:w="739"/>
        <w:gridCol w:w="880"/>
        <w:gridCol w:w="825"/>
        <w:gridCol w:w="871"/>
        <w:gridCol w:w="440"/>
        <w:gridCol w:w="440"/>
        <w:gridCol w:w="440"/>
        <w:gridCol w:w="871"/>
        <w:gridCol w:w="440"/>
        <w:gridCol w:w="440"/>
        <w:gridCol w:w="440"/>
        <w:gridCol w:w="440"/>
        <w:gridCol w:w="440"/>
        <w:gridCol w:w="440"/>
        <w:gridCol w:w="444"/>
      </w:tblGrid>
      <w:tr w:rsidR="00873259" w:rsidRPr="00EB5B0E" w:rsidTr="0024600E">
        <w:trPr>
          <w:trHeight w:val="227"/>
        </w:trPr>
        <w:tc>
          <w:tcPr>
            <w:tcW w:w="164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BE1A84" w:rsidRDefault="00873259" w:rsidP="00873259">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953661" w:rsidRDefault="00873259" w:rsidP="00873259">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EB5B0E" w:rsidRDefault="00873259" w:rsidP="00873259">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697C7E" w:rsidRDefault="00873259" w:rsidP="00873259">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EB5B0E" w:rsidRDefault="00873259" w:rsidP="00873259">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EB5B0E" w:rsidRDefault="00873259" w:rsidP="00873259">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873259" w:rsidRPr="00EB5B0E" w:rsidRDefault="00873259" w:rsidP="00873259">
            <w:pPr>
              <w:jc w:val="center"/>
              <w:rPr>
                <w:rFonts w:ascii="Calibri" w:hAnsi="Calibri" w:cs="Calibri"/>
                <w:b/>
                <w:bCs/>
                <w:color w:val="000000"/>
                <w:lang w:eastAsia="en-GB"/>
              </w:rPr>
            </w:pPr>
            <w:r>
              <w:rPr>
                <w:rFonts w:ascii="Calibri" w:hAnsi="Calibri" w:cs="Calibri"/>
                <w:b/>
                <w:bCs/>
                <w:color w:val="000000"/>
                <w:lang w:eastAsia="en-GB"/>
              </w:rPr>
              <w:t>Age</w:t>
            </w:r>
          </w:p>
        </w:tc>
      </w:tr>
      <w:tr w:rsidR="00873259" w:rsidTr="0024600E">
        <w:trPr>
          <w:trHeight w:val="540"/>
        </w:trPr>
        <w:tc>
          <w:tcPr>
            <w:tcW w:w="164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462493" w:rsidRDefault="00873259" w:rsidP="00873259">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73259" w:rsidRPr="00462493" w:rsidRDefault="00873259" w:rsidP="00873259">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873259" w:rsidRDefault="00873259" w:rsidP="00873259">
            <w:pPr>
              <w:rPr>
                <w:rFonts w:ascii="Calibri" w:hAnsi="Calibri" w:cs="Calibri"/>
                <w:b/>
                <w:bCs/>
                <w:color w:val="000000"/>
              </w:rPr>
            </w:pPr>
            <w:r>
              <w:rPr>
                <w:rFonts w:ascii="Calibri" w:hAnsi="Calibri" w:cs="Calibri"/>
                <w:b/>
                <w:bCs/>
                <w:color w:val="000000"/>
              </w:rPr>
              <w:t>75+</w:t>
            </w:r>
          </w:p>
        </w:tc>
      </w:tr>
      <w:tr w:rsidR="00873259" w:rsidRPr="00067C88"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067C88" w:rsidRDefault="004A37EA" w:rsidP="00873259">
            <w:pPr>
              <w:rPr>
                <w:rFonts w:ascii="Calibri" w:hAnsi="Calibri" w:cs="Calibri"/>
                <w:b/>
                <w:bCs/>
                <w:color w:val="000000"/>
              </w:rPr>
            </w:pPr>
            <w:r>
              <w:rPr>
                <w:rFonts w:ascii="Calibri" w:hAnsi="Calibri" w:cs="Calibri"/>
                <w:b/>
                <w:bCs/>
                <w:color w:val="000000"/>
              </w:rPr>
              <w:t>Breastfed babies get fewer ear, chest and kidney infections</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56</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51</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45</w:t>
            </w:r>
          </w:p>
        </w:tc>
      </w:tr>
      <w:tr w:rsidR="004A37EA"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6</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10</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10</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7</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48</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36</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40</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49</w:t>
            </w:r>
          </w:p>
        </w:tc>
      </w:tr>
      <w:tr w:rsidR="00873259"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4A37EA" w:rsidRDefault="004A37EA" w:rsidP="00873259">
            <w:pPr>
              <w:rPr>
                <w:rFonts w:ascii="Calibri" w:hAnsi="Calibri" w:cs="Calibri"/>
                <w:b/>
                <w:bCs/>
                <w:color w:val="000000"/>
              </w:rPr>
            </w:pPr>
            <w:r>
              <w:rPr>
                <w:rFonts w:ascii="Calibri" w:hAnsi="Calibri" w:cs="Calibri"/>
                <w:b/>
                <w:bCs/>
                <w:color w:val="000000"/>
              </w:rPr>
              <w:t>Bottle-fed babies are more likely to be admitted to hospital with diarrhoea and vomiting</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27</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27</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25</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29</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25</w:t>
            </w:r>
          </w:p>
        </w:tc>
      </w:tr>
      <w:tr w:rsidR="004A37EA"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24</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22</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58</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41</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41</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47</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53</w:t>
            </w:r>
          </w:p>
        </w:tc>
      </w:tr>
      <w:tr w:rsidR="00873259"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4A37EA" w:rsidRDefault="004A37EA" w:rsidP="00873259">
            <w:pPr>
              <w:rPr>
                <w:rFonts w:ascii="Calibri" w:hAnsi="Calibri" w:cs="Calibri"/>
                <w:b/>
                <w:bCs/>
                <w:color w:val="000000"/>
              </w:rPr>
            </w:pPr>
            <w:r>
              <w:rPr>
                <w:rFonts w:ascii="Calibri" w:hAnsi="Calibri" w:cs="Calibri"/>
                <w:b/>
                <w:bCs/>
                <w:color w:val="000000"/>
              </w:rPr>
              <w:t>Breastfeeding helps protect children from diabetes</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31</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24</w:t>
            </w:r>
          </w:p>
        </w:tc>
      </w:tr>
      <w:tr w:rsidR="004A37EA"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7</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8</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62</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56</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49</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63</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68</w:t>
            </w:r>
          </w:p>
        </w:tc>
      </w:tr>
      <w:tr w:rsidR="004A37EA"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Pr="004A37EA" w:rsidRDefault="004A37EA" w:rsidP="004A37EA">
            <w:pPr>
              <w:rPr>
                <w:rFonts w:ascii="Calibri" w:hAnsi="Calibri" w:cs="Calibri"/>
                <w:b/>
                <w:bCs/>
                <w:color w:val="000000"/>
              </w:rPr>
            </w:pPr>
            <w:r>
              <w:rPr>
                <w:rFonts w:ascii="Calibri" w:hAnsi="Calibri" w:cs="Calibri"/>
                <w:b/>
                <w:bCs/>
                <w:color w:val="000000"/>
              </w:rPr>
              <w:t>Breastfeeding helps protect children from severe asthma and eczema</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38</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40</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41</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39</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28</w:t>
            </w:r>
          </w:p>
        </w:tc>
      </w:tr>
      <w:tr w:rsidR="004A37EA"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10</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9</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9</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37</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63</w:t>
            </w:r>
          </w:p>
        </w:tc>
      </w:tr>
      <w:tr w:rsidR="004A37EA"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Pr="004A37EA" w:rsidRDefault="004A37EA" w:rsidP="004A37EA">
            <w:pPr>
              <w:rPr>
                <w:rFonts w:ascii="Calibri" w:hAnsi="Calibri" w:cs="Calibri"/>
                <w:b/>
                <w:bCs/>
                <w:color w:val="000000"/>
              </w:rPr>
            </w:pPr>
            <w:r>
              <w:rPr>
                <w:rFonts w:ascii="Calibri" w:hAnsi="Calibri" w:cs="Calibri"/>
                <w:b/>
                <w:bCs/>
                <w:color w:val="000000"/>
              </w:rPr>
              <w:t>Bottle-fed babies are at increased risk of sudden infant death (cot-death)</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12</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15</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14</w:t>
            </w:r>
          </w:p>
        </w:tc>
      </w:tr>
      <w:tr w:rsidR="004A37EA"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42</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40</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24</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20</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68</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66</w:t>
            </w:r>
          </w:p>
        </w:tc>
      </w:tr>
      <w:tr w:rsidR="00873259"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73259" w:rsidRPr="004A37EA" w:rsidRDefault="004A37EA" w:rsidP="00873259">
            <w:pPr>
              <w:rPr>
                <w:rFonts w:ascii="Calibri" w:hAnsi="Calibri" w:cs="Calibri"/>
                <w:b/>
                <w:bCs/>
                <w:color w:val="000000"/>
              </w:rPr>
            </w:pPr>
            <w:r>
              <w:rPr>
                <w:rFonts w:ascii="Calibri" w:hAnsi="Calibri" w:cs="Calibri"/>
                <w:b/>
                <w:bCs/>
                <w:color w:val="000000"/>
              </w:rPr>
              <w:t>Breastfeeding reduces the risk of breast cancer in women</w:t>
            </w:r>
          </w:p>
        </w:tc>
      </w:tr>
      <w:tr w:rsidR="004A37EA"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26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39</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29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30</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30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28</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16</w:t>
            </w:r>
          </w:p>
        </w:tc>
      </w:tr>
      <w:tr w:rsidR="004A37EA"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 xml:space="preserve">Disagree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13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14</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8</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11</w:t>
            </w:r>
          </w:p>
        </w:tc>
      </w:tr>
      <w:tr w:rsidR="004A37EA"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A37EA" w:rsidRDefault="004A37EA">
            <w:pPr>
              <w:rPr>
                <w:rFonts w:ascii="Calibri" w:hAnsi="Calibri" w:cs="Calibri"/>
                <w:b/>
                <w:bCs/>
                <w:color w:val="000000"/>
              </w:rPr>
            </w:pPr>
            <w:r>
              <w:rPr>
                <w:rFonts w:ascii="Calibri" w:hAnsi="Calibri" w:cs="Calibri"/>
                <w:b/>
                <w:bCs/>
                <w:color w:val="000000"/>
              </w:rPr>
              <w:t>Don't know</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65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A37EA" w:rsidRDefault="004A37EA">
            <w:pPr>
              <w:jc w:val="right"/>
              <w:rPr>
                <w:rFonts w:ascii="Calibri" w:hAnsi="Calibri" w:cs="Calibri"/>
                <w:sz w:val="22"/>
                <w:szCs w:val="22"/>
              </w:rPr>
            </w:pPr>
            <w:r>
              <w:rPr>
                <w:rFonts w:ascii="Calibri" w:hAnsi="Calibri" w:cs="Calibri"/>
                <w:sz w:val="22"/>
                <w:szCs w:val="22"/>
              </w:rPr>
              <w:t>48</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48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55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64</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A37EA" w:rsidRDefault="004A37EA">
            <w:pPr>
              <w:jc w:val="right"/>
              <w:rPr>
                <w:rFonts w:ascii="Calibri" w:hAnsi="Calibri" w:cs="Calibri"/>
                <w:sz w:val="22"/>
                <w:szCs w:val="22"/>
              </w:rPr>
            </w:pPr>
            <w:r>
              <w:rPr>
                <w:rFonts w:ascii="Calibri" w:hAnsi="Calibri" w:cs="Calibri"/>
                <w:sz w:val="22"/>
                <w:szCs w:val="22"/>
              </w:rPr>
              <w:t>73</w:t>
            </w:r>
          </w:p>
        </w:tc>
      </w:tr>
    </w:tbl>
    <w:p w:rsidR="00873259" w:rsidRDefault="00873259" w:rsidP="00873259">
      <w:pPr>
        <w:tabs>
          <w:tab w:val="center" w:pos="4075"/>
        </w:tabs>
        <w:autoSpaceDE w:val="0"/>
        <w:autoSpaceDN w:val="0"/>
        <w:adjustRightInd w:val="0"/>
        <w:rPr>
          <w:rFonts w:asciiTheme="minorHAnsi" w:hAnsiTheme="minorHAnsi" w:cstheme="minorHAnsi"/>
          <w:b/>
          <w:sz w:val="22"/>
          <w:szCs w:val="22"/>
        </w:rPr>
      </w:pPr>
    </w:p>
    <w:p w:rsidR="00684B5E" w:rsidRDefault="00684B5E" w:rsidP="00597CCA">
      <w:pPr>
        <w:tabs>
          <w:tab w:val="center" w:pos="4075"/>
        </w:tabs>
        <w:autoSpaceDE w:val="0"/>
        <w:autoSpaceDN w:val="0"/>
        <w:adjustRightInd w:val="0"/>
        <w:rPr>
          <w:rFonts w:asciiTheme="minorHAnsi" w:hAnsiTheme="minorHAnsi" w:cstheme="minorHAnsi"/>
          <w:b/>
          <w:sz w:val="22"/>
          <w:szCs w:val="22"/>
        </w:rPr>
      </w:pPr>
    </w:p>
    <w:p w:rsidR="00684B5E" w:rsidRDefault="00684B5E" w:rsidP="00597CCA">
      <w:pPr>
        <w:tabs>
          <w:tab w:val="center" w:pos="4075"/>
        </w:tabs>
        <w:autoSpaceDE w:val="0"/>
        <w:autoSpaceDN w:val="0"/>
        <w:adjustRightInd w:val="0"/>
        <w:rPr>
          <w:rFonts w:asciiTheme="minorHAnsi" w:hAnsiTheme="minorHAnsi" w:cstheme="minorHAnsi"/>
          <w:b/>
          <w:sz w:val="22"/>
          <w:szCs w:val="22"/>
        </w:rPr>
      </w:pPr>
    </w:p>
    <w:p w:rsidR="00555E2B" w:rsidRDefault="00555E2B" w:rsidP="00597CCA">
      <w:pPr>
        <w:tabs>
          <w:tab w:val="center" w:pos="4075"/>
        </w:tabs>
        <w:autoSpaceDE w:val="0"/>
        <w:autoSpaceDN w:val="0"/>
        <w:adjustRightInd w:val="0"/>
        <w:rPr>
          <w:rFonts w:asciiTheme="minorHAnsi" w:hAnsiTheme="minorHAnsi" w:cstheme="minorHAnsi"/>
          <w:b/>
          <w:sz w:val="22"/>
          <w:szCs w:val="22"/>
        </w:rPr>
      </w:pPr>
    </w:p>
    <w:p w:rsidR="00555E2B" w:rsidRDefault="00555E2B" w:rsidP="00597CCA">
      <w:pPr>
        <w:tabs>
          <w:tab w:val="center" w:pos="4075"/>
        </w:tabs>
        <w:autoSpaceDE w:val="0"/>
        <w:autoSpaceDN w:val="0"/>
        <w:adjustRightInd w:val="0"/>
        <w:rPr>
          <w:rFonts w:asciiTheme="minorHAnsi" w:hAnsiTheme="minorHAnsi" w:cstheme="minorHAnsi"/>
          <w:b/>
          <w:sz w:val="22"/>
          <w:szCs w:val="22"/>
        </w:rPr>
      </w:pPr>
    </w:p>
    <w:p w:rsidR="00701171" w:rsidRDefault="00701171" w:rsidP="00597CCA">
      <w:pPr>
        <w:tabs>
          <w:tab w:val="center" w:pos="4075"/>
        </w:tabs>
        <w:autoSpaceDE w:val="0"/>
        <w:autoSpaceDN w:val="0"/>
        <w:adjustRightInd w:val="0"/>
        <w:rPr>
          <w:rFonts w:asciiTheme="minorHAnsi" w:hAnsiTheme="minorHAnsi" w:cstheme="minorHAnsi"/>
          <w:b/>
          <w:sz w:val="22"/>
          <w:szCs w:val="22"/>
        </w:rPr>
      </w:pPr>
    </w:p>
    <w:p w:rsidR="00701171" w:rsidRDefault="00701171" w:rsidP="00597CCA">
      <w:pPr>
        <w:tabs>
          <w:tab w:val="center" w:pos="4075"/>
        </w:tabs>
        <w:autoSpaceDE w:val="0"/>
        <w:autoSpaceDN w:val="0"/>
        <w:adjustRightInd w:val="0"/>
        <w:rPr>
          <w:rFonts w:asciiTheme="minorHAnsi" w:hAnsiTheme="minorHAnsi" w:cstheme="minorHAnsi"/>
          <w:b/>
          <w:sz w:val="22"/>
          <w:szCs w:val="22"/>
        </w:rPr>
      </w:pPr>
    </w:p>
    <w:p w:rsidR="00701171" w:rsidRDefault="00701171" w:rsidP="0070117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Opinion on breastfeeding – All Respondents</w:t>
      </w:r>
    </w:p>
    <w:tbl>
      <w:tblPr>
        <w:tblW w:w="14955" w:type="dxa"/>
        <w:tblLook w:val="04A0" w:firstRow="1" w:lastRow="0" w:firstColumn="1" w:lastColumn="0" w:noHBand="0" w:noVBand="1"/>
      </w:tblPr>
      <w:tblGrid>
        <w:gridCol w:w="1644"/>
        <w:gridCol w:w="713"/>
        <w:gridCol w:w="538"/>
        <w:gridCol w:w="718"/>
        <w:gridCol w:w="630"/>
        <w:gridCol w:w="553"/>
        <w:gridCol w:w="8"/>
        <w:gridCol w:w="680"/>
        <w:gridCol w:w="881"/>
        <w:gridCol w:w="739"/>
        <w:gridCol w:w="880"/>
        <w:gridCol w:w="825"/>
        <w:gridCol w:w="871"/>
        <w:gridCol w:w="440"/>
        <w:gridCol w:w="440"/>
        <w:gridCol w:w="440"/>
        <w:gridCol w:w="871"/>
        <w:gridCol w:w="440"/>
        <w:gridCol w:w="440"/>
        <w:gridCol w:w="440"/>
        <w:gridCol w:w="440"/>
        <w:gridCol w:w="440"/>
        <w:gridCol w:w="440"/>
        <w:gridCol w:w="444"/>
      </w:tblGrid>
      <w:tr w:rsidR="00701171" w:rsidRPr="00EB5B0E" w:rsidTr="0024600E">
        <w:trPr>
          <w:trHeight w:val="227"/>
        </w:trPr>
        <w:tc>
          <w:tcPr>
            <w:tcW w:w="164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BE1A84" w:rsidRDefault="00701171" w:rsidP="00701171">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953661" w:rsidRDefault="00701171" w:rsidP="00701171">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EB5B0E" w:rsidRDefault="00701171" w:rsidP="00701171">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697C7E" w:rsidRDefault="00701171" w:rsidP="00701171">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EB5B0E" w:rsidRDefault="00701171" w:rsidP="00701171">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EB5B0E" w:rsidRDefault="00701171" w:rsidP="00701171">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701171" w:rsidRPr="00EB5B0E" w:rsidRDefault="00701171" w:rsidP="00701171">
            <w:pPr>
              <w:jc w:val="center"/>
              <w:rPr>
                <w:rFonts w:ascii="Calibri" w:hAnsi="Calibri" w:cs="Calibri"/>
                <w:b/>
                <w:bCs/>
                <w:color w:val="000000"/>
                <w:lang w:eastAsia="en-GB"/>
              </w:rPr>
            </w:pPr>
            <w:r>
              <w:rPr>
                <w:rFonts w:ascii="Calibri" w:hAnsi="Calibri" w:cs="Calibri"/>
                <w:b/>
                <w:bCs/>
                <w:color w:val="000000"/>
                <w:lang w:eastAsia="en-GB"/>
              </w:rPr>
              <w:t>Age</w:t>
            </w:r>
          </w:p>
        </w:tc>
      </w:tr>
      <w:tr w:rsidR="00701171" w:rsidTr="0024600E">
        <w:trPr>
          <w:trHeight w:val="540"/>
        </w:trPr>
        <w:tc>
          <w:tcPr>
            <w:tcW w:w="164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462493" w:rsidRDefault="00701171" w:rsidP="00701171">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701171" w:rsidRPr="00462493" w:rsidRDefault="00701171" w:rsidP="00701171">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701171" w:rsidRDefault="00701171" w:rsidP="00701171">
            <w:pPr>
              <w:rPr>
                <w:rFonts w:ascii="Calibri" w:hAnsi="Calibri" w:cs="Calibri"/>
                <w:b/>
                <w:bCs/>
                <w:color w:val="000000"/>
              </w:rPr>
            </w:pPr>
            <w:r>
              <w:rPr>
                <w:rFonts w:ascii="Calibri" w:hAnsi="Calibri" w:cs="Calibri"/>
                <w:b/>
                <w:bCs/>
                <w:color w:val="000000"/>
              </w:rPr>
              <w:t>75+</w:t>
            </w:r>
          </w:p>
        </w:tc>
      </w:tr>
      <w:tr w:rsidR="00701171" w:rsidRPr="00067C88"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067C88" w:rsidRDefault="00701171" w:rsidP="00701171">
            <w:pPr>
              <w:rPr>
                <w:rFonts w:ascii="Calibri" w:hAnsi="Calibri" w:cs="Calibri"/>
                <w:b/>
                <w:bCs/>
                <w:color w:val="000000"/>
              </w:rPr>
            </w:pPr>
            <w:r>
              <w:rPr>
                <w:rFonts w:ascii="Calibri" w:hAnsi="Calibri" w:cs="Calibri"/>
                <w:b/>
                <w:bCs/>
                <w:color w:val="000000"/>
              </w:rPr>
              <w:t>Breastfeeding is embarrassing</w:t>
            </w:r>
          </w:p>
        </w:tc>
      </w:tr>
      <w:tr w:rsidR="0070117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17</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15</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22</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23</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32</w:t>
            </w:r>
          </w:p>
        </w:tc>
      </w:tr>
      <w:tr w:rsidR="00701171"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 xml:space="preserve">Neither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23</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25</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23</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24</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26</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24</w:t>
            </w:r>
          </w:p>
        </w:tc>
      </w:tr>
      <w:tr w:rsidR="0070117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59</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55</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62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58</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61</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55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57</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60</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63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60</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56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58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57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61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62</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60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67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63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44</w:t>
            </w:r>
          </w:p>
        </w:tc>
      </w:tr>
      <w:tr w:rsidR="0070117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4A37EA" w:rsidRDefault="00701171" w:rsidP="00701171">
            <w:pPr>
              <w:rPr>
                <w:rFonts w:ascii="Calibri" w:hAnsi="Calibri" w:cs="Calibri"/>
                <w:b/>
                <w:bCs/>
                <w:color w:val="000000"/>
              </w:rPr>
            </w:pPr>
            <w:r>
              <w:rPr>
                <w:rFonts w:ascii="Calibri" w:hAnsi="Calibri" w:cs="Calibri"/>
                <w:b/>
                <w:bCs/>
                <w:color w:val="000000"/>
              </w:rPr>
              <w:t>Breastfeeding is offensive</w:t>
            </w:r>
          </w:p>
        </w:tc>
      </w:tr>
      <w:tr w:rsidR="0070117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4</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w:t>
            </w:r>
          </w:p>
        </w:tc>
      </w:tr>
      <w:tr w:rsidR="0070117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13</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21</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21</w:t>
            </w:r>
          </w:p>
        </w:tc>
      </w:tr>
      <w:tr w:rsidR="0070117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78</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83</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81</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84</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84</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85</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74</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71</w:t>
            </w:r>
          </w:p>
        </w:tc>
      </w:tr>
      <w:tr w:rsidR="0070117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4A37EA" w:rsidRDefault="00701171" w:rsidP="00701171">
            <w:pPr>
              <w:rPr>
                <w:rFonts w:ascii="Calibri" w:hAnsi="Calibri" w:cs="Calibri"/>
                <w:b/>
                <w:bCs/>
                <w:color w:val="000000"/>
              </w:rPr>
            </w:pPr>
            <w:r>
              <w:rPr>
                <w:rFonts w:ascii="Calibri" w:hAnsi="Calibri" w:cs="Calibri"/>
                <w:b/>
                <w:bCs/>
                <w:color w:val="000000"/>
              </w:rPr>
              <w:t>Breastfeeding is normal</w:t>
            </w:r>
          </w:p>
        </w:tc>
      </w:tr>
      <w:tr w:rsidR="0070117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85</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91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88</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90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91</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87</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86</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92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81</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81</w:t>
            </w:r>
          </w:p>
        </w:tc>
      </w:tr>
      <w:tr w:rsidR="0070117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10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8</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13</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15</w:t>
            </w:r>
          </w:p>
        </w:tc>
      </w:tr>
      <w:tr w:rsidR="0070117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Default="00701171" w:rsidP="00701171">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701171" w:rsidRDefault="00701171">
            <w:pPr>
              <w:jc w:val="right"/>
              <w:rPr>
                <w:rFonts w:ascii="Calibri" w:hAnsi="Calibri" w:cs="Calibri"/>
                <w:sz w:val="22"/>
                <w:szCs w:val="22"/>
              </w:rPr>
            </w:pPr>
            <w:r>
              <w:rPr>
                <w:rFonts w:ascii="Calibri" w:hAnsi="Calibri" w:cs="Calibri"/>
                <w:sz w:val="22"/>
                <w:szCs w:val="22"/>
              </w:rPr>
              <w:t>4</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701171" w:rsidRDefault="00701171">
            <w:pPr>
              <w:jc w:val="right"/>
              <w:rPr>
                <w:rFonts w:ascii="Calibri" w:hAnsi="Calibri" w:cs="Calibri"/>
                <w:sz w:val="22"/>
                <w:szCs w:val="22"/>
              </w:rPr>
            </w:pPr>
            <w:r>
              <w:rPr>
                <w:rFonts w:ascii="Calibri" w:hAnsi="Calibri" w:cs="Calibri"/>
                <w:sz w:val="22"/>
                <w:szCs w:val="22"/>
              </w:rPr>
              <w:t>5</w:t>
            </w:r>
          </w:p>
        </w:tc>
      </w:tr>
      <w:tr w:rsidR="0070117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4A37EA" w:rsidRDefault="00701171" w:rsidP="00701171">
            <w:pPr>
              <w:rPr>
                <w:rFonts w:ascii="Calibri" w:hAnsi="Calibri" w:cs="Calibri"/>
                <w:b/>
                <w:bCs/>
                <w:color w:val="000000"/>
              </w:rPr>
            </w:pPr>
            <w:r>
              <w:rPr>
                <w:rFonts w:ascii="Calibri" w:hAnsi="Calibri" w:cs="Calibri"/>
                <w:b/>
                <w:bCs/>
                <w:color w:val="000000"/>
              </w:rPr>
              <w:t>Breastfeeding is distasteful</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5</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9</w:t>
            </w:r>
          </w:p>
        </w:tc>
      </w:tr>
      <w:tr w:rsidR="003C3221"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 xml:space="preserve">Neither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10</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15</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12</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17</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17</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77</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83</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81</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77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78</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73</w:t>
            </w:r>
          </w:p>
        </w:tc>
      </w:tr>
      <w:tr w:rsidR="0070117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701171" w:rsidRPr="004A37EA" w:rsidRDefault="00701171" w:rsidP="00701171">
            <w:pPr>
              <w:rPr>
                <w:rFonts w:ascii="Calibri" w:hAnsi="Calibri" w:cs="Calibri"/>
                <w:b/>
                <w:bCs/>
                <w:color w:val="000000"/>
              </w:rPr>
            </w:pPr>
            <w:r>
              <w:rPr>
                <w:rFonts w:ascii="Calibri" w:hAnsi="Calibri" w:cs="Calibri"/>
                <w:b/>
                <w:bCs/>
                <w:color w:val="000000"/>
              </w:rPr>
              <w:t>Breastfeeding is good for baby</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81</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86</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88</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85</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83</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80</w:t>
            </w:r>
          </w:p>
        </w:tc>
      </w:tr>
      <w:tr w:rsidR="003C3221"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 xml:space="preserve">Neither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13</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18</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13</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16</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10</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13</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13</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11</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12</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15</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17</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701171">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w:t>
            </w:r>
          </w:p>
        </w:tc>
      </w:tr>
    </w:tbl>
    <w:p w:rsidR="00873259" w:rsidRDefault="00873259" w:rsidP="00597CCA">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555E2B" w:rsidRDefault="00555E2B"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3C3221" w:rsidRDefault="003C3221" w:rsidP="003C322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Opinion on breastfeeding in public – All Respondents</w:t>
      </w:r>
    </w:p>
    <w:tbl>
      <w:tblPr>
        <w:tblW w:w="14955" w:type="dxa"/>
        <w:tblLook w:val="04A0" w:firstRow="1" w:lastRow="0" w:firstColumn="1" w:lastColumn="0" w:noHBand="0" w:noVBand="1"/>
      </w:tblPr>
      <w:tblGrid>
        <w:gridCol w:w="1644"/>
        <w:gridCol w:w="713"/>
        <w:gridCol w:w="538"/>
        <w:gridCol w:w="718"/>
        <w:gridCol w:w="630"/>
        <w:gridCol w:w="553"/>
        <w:gridCol w:w="8"/>
        <w:gridCol w:w="680"/>
        <w:gridCol w:w="881"/>
        <w:gridCol w:w="739"/>
        <w:gridCol w:w="880"/>
        <w:gridCol w:w="825"/>
        <w:gridCol w:w="871"/>
        <w:gridCol w:w="440"/>
        <w:gridCol w:w="440"/>
        <w:gridCol w:w="440"/>
        <w:gridCol w:w="871"/>
        <w:gridCol w:w="440"/>
        <w:gridCol w:w="440"/>
        <w:gridCol w:w="440"/>
        <w:gridCol w:w="440"/>
        <w:gridCol w:w="440"/>
        <w:gridCol w:w="440"/>
        <w:gridCol w:w="444"/>
      </w:tblGrid>
      <w:tr w:rsidR="003C3221" w:rsidRPr="00EB5B0E" w:rsidTr="0024600E">
        <w:trPr>
          <w:trHeight w:val="227"/>
        </w:trPr>
        <w:tc>
          <w:tcPr>
            <w:tcW w:w="164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BE1A84" w:rsidRDefault="003C3221" w:rsidP="00142C69">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953661" w:rsidRDefault="003C3221" w:rsidP="00142C69">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697C7E" w:rsidRDefault="003C3221" w:rsidP="00142C69">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3C3221" w:rsidRPr="00EB5B0E" w:rsidRDefault="003C3221" w:rsidP="00142C69">
            <w:pPr>
              <w:jc w:val="center"/>
              <w:rPr>
                <w:rFonts w:ascii="Calibri" w:hAnsi="Calibri" w:cs="Calibri"/>
                <w:b/>
                <w:bCs/>
                <w:color w:val="000000"/>
                <w:lang w:eastAsia="en-GB"/>
              </w:rPr>
            </w:pPr>
            <w:r>
              <w:rPr>
                <w:rFonts w:ascii="Calibri" w:hAnsi="Calibri" w:cs="Calibri"/>
                <w:b/>
                <w:bCs/>
                <w:color w:val="000000"/>
                <w:lang w:eastAsia="en-GB"/>
              </w:rPr>
              <w:t>Age</w:t>
            </w:r>
          </w:p>
        </w:tc>
      </w:tr>
      <w:tr w:rsidR="003C3221" w:rsidTr="0024600E">
        <w:trPr>
          <w:trHeight w:val="540"/>
        </w:trPr>
        <w:tc>
          <w:tcPr>
            <w:tcW w:w="164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62493" w:rsidRDefault="003C3221" w:rsidP="00142C69">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75+</w:t>
            </w:r>
          </w:p>
        </w:tc>
      </w:tr>
      <w:tr w:rsidR="003C3221" w:rsidRPr="00067C88"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067C88" w:rsidRDefault="003C3221" w:rsidP="00142C69">
            <w:pPr>
              <w:rPr>
                <w:rFonts w:ascii="Calibri" w:hAnsi="Calibri" w:cs="Calibri"/>
                <w:b/>
                <w:bCs/>
                <w:color w:val="000000"/>
              </w:rPr>
            </w:pPr>
            <w:r>
              <w:rPr>
                <w:rFonts w:ascii="Calibri" w:hAnsi="Calibri" w:cs="Calibri"/>
                <w:b/>
                <w:bCs/>
                <w:color w:val="000000"/>
              </w:rPr>
              <w:t>Women should be made to feel comfortable breastfeeding their babies in public</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74</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80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76</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54</w:t>
            </w:r>
          </w:p>
        </w:tc>
      </w:tr>
      <w:tr w:rsidR="003C3221"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22</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14</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21</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24</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12</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11</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11</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10</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10</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22</w:t>
            </w:r>
          </w:p>
        </w:tc>
      </w:tr>
      <w:tr w:rsidR="003C322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A37EA" w:rsidRDefault="003C3221" w:rsidP="00142C69">
            <w:pPr>
              <w:rPr>
                <w:rFonts w:ascii="Calibri" w:hAnsi="Calibri" w:cs="Calibri"/>
                <w:b/>
                <w:bCs/>
                <w:color w:val="000000"/>
              </w:rPr>
            </w:pPr>
            <w:r>
              <w:rPr>
                <w:rFonts w:ascii="Calibri" w:hAnsi="Calibri" w:cs="Calibri"/>
                <w:b/>
                <w:bCs/>
                <w:color w:val="000000"/>
              </w:rPr>
              <w:t>Women should only breastfeed their babies at home or in private</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24</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32</w:t>
            </w:r>
          </w:p>
        </w:tc>
      </w:tr>
      <w:tr w:rsidR="003C322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21</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23</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22</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59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71</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67</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65</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70</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52</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46</w:t>
            </w:r>
          </w:p>
        </w:tc>
      </w:tr>
      <w:tr w:rsidR="003C322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A37EA" w:rsidRDefault="003C3221" w:rsidP="00142C69">
            <w:pPr>
              <w:rPr>
                <w:rFonts w:ascii="Calibri" w:hAnsi="Calibri" w:cs="Calibri"/>
                <w:b/>
                <w:bCs/>
                <w:color w:val="000000"/>
              </w:rPr>
            </w:pPr>
            <w:r>
              <w:rPr>
                <w:rFonts w:ascii="Calibri" w:hAnsi="Calibri" w:cs="Calibri"/>
                <w:b/>
                <w:bCs/>
                <w:color w:val="000000"/>
              </w:rPr>
              <w:t>There should be a law in Northern Ireland to protect women who want to breastfeed in public</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58</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62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59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73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63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53</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44</w:t>
            </w:r>
          </w:p>
        </w:tc>
      </w:tr>
      <w:tr w:rsidR="003C322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23</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26</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29</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29</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14</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14</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19</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rsidP="00142C69">
            <w:pPr>
              <w:jc w:val="right"/>
              <w:rPr>
                <w:rFonts w:ascii="Calibri" w:hAnsi="Calibri" w:cs="Calibri"/>
                <w:sz w:val="22"/>
                <w:szCs w:val="22"/>
              </w:rPr>
            </w:pPr>
            <w:r>
              <w:rPr>
                <w:rFonts w:ascii="Calibri" w:hAnsi="Calibri" w:cs="Calibri"/>
                <w:sz w:val="22"/>
                <w:szCs w:val="22"/>
              </w:rPr>
              <w:t>27</w:t>
            </w:r>
          </w:p>
        </w:tc>
      </w:tr>
    </w:tbl>
    <w:p w:rsidR="003C3221" w:rsidRDefault="003C3221" w:rsidP="003C3221">
      <w:pPr>
        <w:tabs>
          <w:tab w:val="center" w:pos="4075"/>
        </w:tabs>
        <w:autoSpaceDE w:val="0"/>
        <w:autoSpaceDN w:val="0"/>
        <w:adjustRightInd w:val="0"/>
        <w:rPr>
          <w:rFonts w:asciiTheme="minorHAnsi" w:hAnsiTheme="minorHAnsi" w:cstheme="minorHAnsi"/>
          <w:b/>
          <w:sz w:val="22"/>
          <w:szCs w:val="22"/>
        </w:rPr>
      </w:pPr>
    </w:p>
    <w:p w:rsidR="003C3221" w:rsidRDefault="003C3221" w:rsidP="003C322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Opinion on formula feeding vs. breastfeeding – All Respondents</w:t>
      </w:r>
    </w:p>
    <w:tbl>
      <w:tblPr>
        <w:tblW w:w="14955" w:type="dxa"/>
        <w:tblLook w:val="04A0" w:firstRow="1" w:lastRow="0" w:firstColumn="1" w:lastColumn="0" w:noHBand="0" w:noVBand="1"/>
      </w:tblPr>
      <w:tblGrid>
        <w:gridCol w:w="1644"/>
        <w:gridCol w:w="713"/>
        <w:gridCol w:w="538"/>
        <w:gridCol w:w="718"/>
        <w:gridCol w:w="630"/>
        <w:gridCol w:w="553"/>
        <w:gridCol w:w="8"/>
        <w:gridCol w:w="680"/>
        <w:gridCol w:w="881"/>
        <w:gridCol w:w="739"/>
        <w:gridCol w:w="880"/>
        <w:gridCol w:w="825"/>
        <w:gridCol w:w="871"/>
        <w:gridCol w:w="440"/>
        <w:gridCol w:w="440"/>
        <w:gridCol w:w="440"/>
        <w:gridCol w:w="871"/>
        <w:gridCol w:w="440"/>
        <w:gridCol w:w="440"/>
        <w:gridCol w:w="440"/>
        <w:gridCol w:w="440"/>
        <w:gridCol w:w="440"/>
        <w:gridCol w:w="440"/>
        <w:gridCol w:w="444"/>
      </w:tblGrid>
      <w:tr w:rsidR="003C3221" w:rsidRPr="00EB5B0E" w:rsidTr="0024600E">
        <w:trPr>
          <w:trHeight w:val="227"/>
        </w:trPr>
        <w:tc>
          <w:tcPr>
            <w:tcW w:w="1644"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BE1A84" w:rsidRDefault="003C3221" w:rsidP="00142C69">
            <w:pPr>
              <w:rPr>
                <w:rFonts w:ascii="Calibri" w:hAnsi="Calibri" w:cs="Calibri"/>
                <w:b/>
                <w:bCs/>
                <w:color w:val="000000"/>
                <w:lang w:eastAsia="en-GB"/>
              </w:rPr>
            </w:pPr>
            <w:r w:rsidRPr="00BE1A84">
              <w:rPr>
                <w:rFonts w:ascii="Calibri" w:hAnsi="Calibri" w:cs="Calibri"/>
                <w:b/>
                <w:bCs/>
                <w:color w:val="000000"/>
                <w:lang w:eastAsia="en-GB"/>
              </w:rPr>
              <w:t>All Respondents</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953661" w:rsidRDefault="003C3221" w:rsidP="00142C69">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697C7E" w:rsidRDefault="003C3221" w:rsidP="00142C69">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EB5B0E" w:rsidRDefault="003C3221" w:rsidP="00142C69">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84"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3C3221" w:rsidRPr="00EB5B0E" w:rsidRDefault="003C3221" w:rsidP="00142C69">
            <w:pPr>
              <w:jc w:val="center"/>
              <w:rPr>
                <w:rFonts w:ascii="Calibri" w:hAnsi="Calibri" w:cs="Calibri"/>
                <w:b/>
                <w:bCs/>
                <w:color w:val="000000"/>
                <w:lang w:eastAsia="en-GB"/>
              </w:rPr>
            </w:pPr>
            <w:r>
              <w:rPr>
                <w:rFonts w:ascii="Calibri" w:hAnsi="Calibri" w:cs="Calibri"/>
                <w:b/>
                <w:bCs/>
                <w:color w:val="000000"/>
                <w:lang w:eastAsia="en-GB"/>
              </w:rPr>
              <w:t>Age</w:t>
            </w:r>
          </w:p>
        </w:tc>
      </w:tr>
      <w:tr w:rsidR="003C3221" w:rsidTr="0024600E">
        <w:trPr>
          <w:trHeight w:val="540"/>
        </w:trPr>
        <w:tc>
          <w:tcPr>
            <w:tcW w:w="1644"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62493" w:rsidRDefault="003C3221" w:rsidP="00142C69">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3C3221" w:rsidRPr="00462493" w:rsidRDefault="003C3221" w:rsidP="00142C69">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65-74</w:t>
            </w:r>
          </w:p>
        </w:tc>
        <w:tc>
          <w:tcPr>
            <w:tcW w:w="444"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3C3221" w:rsidRDefault="003C3221" w:rsidP="00142C69">
            <w:pPr>
              <w:rPr>
                <w:rFonts w:ascii="Calibri" w:hAnsi="Calibri" w:cs="Calibri"/>
                <w:b/>
                <w:bCs/>
                <w:color w:val="000000"/>
              </w:rPr>
            </w:pPr>
            <w:r>
              <w:rPr>
                <w:rFonts w:ascii="Calibri" w:hAnsi="Calibri" w:cs="Calibri"/>
                <w:b/>
                <w:bCs/>
                <w:color w:val="000000"/>
              </w:rPr>
              <w:t>75+</w:t>
            </w:r>
          </w:p>
        </w:tc>
      </w:tr>
      <w:tr w:rsidR="003C3221" w:rsidRPr="00067C88"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067C88" w:rsidRDefault="003C3221" w:rsidP="00142C69">
            <w:pPr>
              <w:rPr>
                <w:rFonts w:ascii="Calibri" w:hAnsi="Calibri" w:cs="Calibri"/>
                <w:b/>
                <w:bCs/>
                <w:color w:val="000000"/>
              </w:rPr>
            </w:pPr>
            <w:r>
              <w:rPr>
                <w:rFonts w:ascii="Calibri" w:hAnsi="Calibri" w:cs="Calibri"/>
                <w:b/>
                <w:bCs/>
                <w:color w:val="000000"/>
              </w:rPr>
              <w:t>Formula feeding is more convenient than breastfeeding</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43</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43</w:t>
            </w:r>
          </w:p>
        </w:tc>
      </w:tr>
      <w:tr w:rsidR="003C3221" w:rsidTr="0024600E">
        <w:trPr>
          <w:trHeight w:val="227"/>
        </w:trPr>
        <w:tc>
          <w:tcPr>
            <w:tcW w:w="1644"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53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44</w:t>
            </w:r>
          </w:p>
        </w:tc>
        <w:tc>
          <w:tcPr>
            <w:tcW w:w="718"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31</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33</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34</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33</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34</w:t>
            </w:r>
          </w:p>
        </w:tc>
        <w:tc>
          <w:tcPr>
            <w:tcW w:w="4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35</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28</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27</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21</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25</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25</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27</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23</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22</w:t>
            </w:r>
          </w:p>
        </w:tc>
      </w:tr>
      <w:tr w:rsidR="003C322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A37EA" w:rsidRDefault="003C3221" w:rsidP="00142C69">
            <w:pPr>
              <w:rPr>
                <w:rFonts w:ascii="Calibri" w:hAnsi="Calibri" w:cs="Calibri"/>
                <w:b/>
                <w:bCs/>
                <w:color w:val="000000"/>
              </w:rPr>
            </w:pPr>
            <w:r>
              <w:rPr>
                <w:rFonts w:ascii="Calibri" w:hAnsi="Calibri" w:cs="Calibri"/>
                <w:b/>
                <w:bCs/>
                <w:color w:val="000000"/>
              </w:rPr>
              <w:t>Formula is as healthy for an infant as breast milk</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26</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31</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29</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21</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29</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27</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24</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26</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22</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31</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31</w:t>
            </w:r>
          </w:p>
        </w:tc>
      </w:tr>
      <w:tr w:rsidR="003C322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34</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39</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36</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36</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30</w:t>
            </w:r>
          </w:p>
        </w:tc>
      </w:tr>
      <w:tr w:rsidR="003C3221" w:rsidTr="0024600E">
        <w:trPr>
          <w:trHeight w:val="227"/>
        </w:trPr>
        <w:tc>
          <w:tcPr>
            <w:tcW w:w="14955" w:type="dxa"/>
            <w:gridSpan w:val="2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Pr="004A37EA" w:rsidRDefault="003C3221" w:rsidP="00142C69">
            <w:pPr>
              <w:rPr>
                <w:rFonts w:ascii="Calibri" w:hAnsi="Calibri" w:cs="Calibri"/>
                <w:b/>
                <w:bCs/>
                <w:color w:val="000000"/>
              </w:rPr>
            </w:pPr>
            <w:r>
              <w:rPr>
                <w:rFonts w:ascii="Calibri" w:hAnsi="Calibri" w:cs="Calibri"/>
                <w:b/>
                <w:bCs/>
                <w:color w:val="000000"/>
              </w:rPr>
              <w:t>Breastfeeding is more convenient than formula feeding</w:t>
            </w:r>
          </w:p>
        </w:tc>
      </w:tr>
      <w:tr w:rsidR="003C3221" w:rsidTr="0024600E">
        <w:trPr>
          <w:trHeight w:val="227"/>
        </w:trPr>
        <w:tc>
          <w:tcPr>
            <w:tcW w:w="164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Agree</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45</w:t>
            </w:r>
          </w:p>
        </w:tc>
        <w:tc>
          <w:tcPr>
            <w:tcW w:w="44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42</w:t>
            </w:r>
          </w:p>
        </w:tc>
      </w:tr>
      <w:tr w:rsidR="003C3221" w:rsidTr="0024600E">
        <w:trPr>
          <w:trHeight w:val="227"/>
        </w:trPr>
        <w:tc>
          <w:tcPr>
            <w:tcW w:w="1644"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 xml:space="preserve">Neither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688" w:type="dxa"/>
            <w:gridSpan w:val="2"/>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41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871"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40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nil"/>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36</w:t>
            </w:r>
          </w:p>
        </w:tc>
        <w:tc>
          <w:tcPr>
            <w:tcW w:w="444"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40</w:t>
            </w:r>
          </w:p>
        </w:tc>
      </w:tr>
      <w:tr w:rsidR="003C3221" w:rsidTr="0024600E">
        <w:trPr>
          <w:trHeight w:val="227"/>
        </w:trPr>
        <w:tc>
          <w:tcPr>
            <w:tcW w:w="1644"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3C3221" w:rsidRDefault="003C3221" w:rsidP="00142C69">
            <w:pPr>
              <w:rPr>
                <w:rFonts w:ascii="Calibri" w:hAnsi="Calibri" w:cs="Calibri"/>
                <w:b/>
                <w:bCs/>
                <w:color w:val="000000"/>
              </w:rPr>
            </w:pPr>
            <w:r>
              <w:rPr>
                <w:rFonts w:ascii="Calibri" w:hAnsi="Calibri" w:cs="Calibri"/>
                <w:b/>
                <w:bCs/>
                <w:color w:val="000000"/>
              </w:rPr>
              <w:t>Disagree</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18</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22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19</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3C3221" w:rsidRDefault="003C3221">
            <w:pPr>
              <w:jc w:val="right"/>
              <w:rPr>
                <w:rFonts w:ascii="Calibri" w:hAnsi="Calibri" w:cs="Calibri"/>
                <w:sz w:val="22"/>
                <w:szCs w:val="22"/>
              </w:rPr>
            </w:pPr>
            <w:r>
              <w:rPr>
                <w:rFonts w:ascii="Calibri" w:hAnsi="Calibri" w:cs="Calibri"/>
                <w:sz w:val="22"/>
                <w:szCs w:val="22"/>
              </w:rPr>
              <w:t>22</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19</w:t>
            </w:r>
          </w:p>
        </w:tc>
        <w:tc>
          <w:tcPr>
            <w:tcW w:w="444"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3C3221" w:rsidRDefault="003C3221">
            <w:pPr>
              <w:jc w:val="right"/>
              <w:rPr>
                <w:rFonts w:ascii="Calibri" w:hAnsi="Calibri" w:cs="Calibri"/>
                <w:sz w:val="22"/>
                <w:szCs w:val="22"/>
              </w:rPr>
            </w:pPr>
            <w:r>
              <w:rPr>
                <w:rFonts w:ascii="Calibri" w:hAnsi="Calibri" w:cs="Calibri"/>
                <w:sz w:val="22"/>
                <w:szCs w:val="22"/>
              </w:rPr>
              <w:t>18</w:t>
            </w:r>
          </w:p>
        </w:tc>
      </w:tr>
    </w:tbl>
    <w:p w:rsidR="001547DE" w:rsidRDefault="001547DE" w:rsidP="003C3221">
      <w:pPr>
        <w:tabs>
          <w:tab w:val="center" w:pos="4075"/>
        </w:tabs>
        <w:autoSpaceDE w:val="0"/>
        <w:autoSpaceDN w:val="0"/>
        <w:adjustRightInd w:val="0"/>
        <w:rPr>
          <w:rFonts w:asciiTheme="minorHAnsi" w:hAnsiTheme="minorHAnsi" w:cstheme="minorHAnsi"/>
          <w:b/>
          <w:sz w:val="22"/>
          <w:szCs w:val="22"/>
        </w:rPr>
      </w:pPr>
    </w:p>
    <w:p w:rsidR="00555E2B" w:rsidRDefault="00555E2B" w:rsidP="003C3221">
      <w:pPr>
        <w:tabs>
          <w:tab w:val="center" w:pos="4075"/>
        </w:tabs>
        <w:autoSpaceDE w:val="0"/>
        <w:autoSpaceDN w:val="0"/>
        <w:adjustRightInd w:val="0"/>
        <w:rPr>
          <w:rFonts w:asciiTheme="minorHAnsi" w:hAnsiTheme="minorHAnsi" w:cstheme="minorHAnsi"/>
          <w:b/>
          <w:sz w:val="22"/>
          <w:szCs w:val="22"/>
        </w:rPr>
      </w:pPr>
    </w:p>
    <w:p w:rsidR="003C3221" w:rsidRDefault="003C3221" w:rsidP="003C3221">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Proportion who breastfed at least one of their children and length of time </w:t>
      </w:r>
      <w:r w:rsidR="00142C69">
        <w:rPr>
          <w:rFonts w:asciiTheme="minorHAnsi" w:hAnsiTheme="minorHAnsi" w:cstheme="minorHAnsi"/>
          <w:b/>
          <w:sz w:val="22"/>
          <w:szCs w:val="22"/>
        </w:rPr>
        <w:t>baby breastfed</w:t>
      </w:r>
      <w:r>
        <w:rPr>
          <w:rFonts w:asciiTheme="minorHAnsi" w:hAnsiTheme="minorHAnsi" w:cstheme="minorHAnsi"/>
          <w:b/>
          <w:sz w:val="22"/>
          <w:szCs w:val="22"/>
        </w:rPr>
        <w:t xml:space="preserve"> – Mothers only</w:t>
      </w:r>
    </w:p>
    <w:tbl>
      <w:tblPr>
        <w:tblW w:w="13906" w:type="dxa"/>
        <w:tblLook w:val="04A0" w:firstRow="1" w:lastRow="0" w:firstColumn="1" w:lastColumn="0" w:noHBand="0" w:noVBand="1"/>
      </w:tblPr>
      <w:tblGrid>
        <w:gridCol w:w="3175"/>
        <w:gridCol w:w="713"/>
        <w:gridCol w:w="630"/>
        <w:gridCol w:w="553"/>
        <w:gridCol w:w="8"/>
        <w:gridCol w:w="680"/>
        <w:gridCol w:w="881"/>
        <w:gridCol w:w="739"/>
        <w:gridCol w:w="880"/>
        <w:gridCol w:w="825"/>
        <w:gridCol w:w="871"/>
        <w:gridCol w:w="440"/>
        <w:gridCol w:w="440"/>
        <w:gridCol w:w="440"/>
        <w:gridCol w:w="871"/>
        <w:gridCol w:w="440"/>
        <w:gridCol w:w="440"/>
        <w:gridCol w:w="440"/>
        <w:gridCol w:w="440"/>
      </w:tblGrid>
      <w:tr w:rsidR="001547DE" w:rsidRPr="00EB5B0E" w:rsidTr="001547DE">
        <w:trPr>
          <w:trHeight w:val="227"/>
        </w:trPr>
        <w:tc>
          <w:tcPr>
            <w:tcW w:w="317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1547DE" w:rsidRPr="00BE1A84" w:rsidRDefault="001547DE" w:rsidP="00142C69">
            <w:pPr>
              <w:rPr>
                <w:rFonts w:ascii="Calibri" w:hAnsi="Calibri" w:cs="Calibri"/>
                <w:b/>
                <w:bCs/>
                <w:color w:val="000000"/>
                <w:lang w:eastAsia="en-GB"/>
              </w:rPr>
            </w:pPr>
            <w:r>
              <w:rPr>
                <w:rFonts w:ascii="Calibri" w:hAnsi="Calibri" w:cs="Calibri"/>
                <w:b/>
                <w:bCs/>
                <w:color w:val="000000"/>
                <w:lang w:eastAsia="en-GB"/>
              </w:rPr>
              <w:t>Mothers Only</w:t>
            </w: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953661" w:rsidRDefault="001547DE" w:rsidP="00142C69">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191"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697C7E" w:rsidRDefault="001547DE" w:rsidP="00142C69">
            <w:pPr>
              <w:jc w:val="center"/>
              <w:rPr>
                <w:rFonts w:ascii="Calibri" w:hAnsi="Calibri" w:cs="Calibri"/>
                <w:b/>
                <w:bCs/>
                <w:color w:val="000000"/>
                <w:sz w:val="18"/>
                <w:szCs w:val="18"/>
                <w:lang w:eastAsia="en-GB"/>
              </w:rPr>
            </w:pPr>
            <w:r w:rsidRPr="00697C7E">
              <w:rPr>
                <w:rFonts w:ascii="Calibri" w:hAnsi="Calibri" w:cs="Calibri"/>
                <w:b/>
                <w:bCs/>
                <w:color w:val="000000"/>
                <w:sz w:val="18"/>
                <w:szCs w:val="18"/>
                <w:lang w:eastAsia="en-GB"/>
              </w:rPr>
              <w:t>Urban/Rural</w:t>
            </w:r>
          </w:p>
        </w:tc>
        <w:tc>
          <w:tcPr>
            <w:tcW w:w="4005"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EB5B0E" w:rsidRDefault="001547DE" w:rsidP="00142C69">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EB5B0E" w:rsidRDefault="001547DE" w:rsidP="00142C69">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176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1547DE" w:rsidRPr="00EB5B0E" w:rsidRDefault="001547DE" w:rsidP="00142C69">
            <w:pPr>
              <w:jc w:val="center"/>
              <w:rPr>
                <w:rFonts w:ascii="Calibri" w:hAnsi="Calibri" w:cs="Calibri"/>
                <w:b/>
                <w:bCs/>
                <w:color w:val="000000"/>
                <w:lang w:eastAsia="en-GB"/>
              </w:rPr>
            </w:pPr>
            <w:r>
              <w:rPr>
                <w:rFonts w:ascii="Calibri" w:hAnsi="Calibri" w:cs="Calibri"/>
                <w:b/>
                <w:bCs/>
                <w:color w:val="000000"/>
                <w:lang w:eastAsia="en-GB"/>
              </w:rPr>
              <w:t>Age</w:t>
            </w:r>
          </w:p>
        </w:tc>
      </w:tr>
      <w:tr w:rsidR="001547DE" w:rsidTr="001547DE">
        <w:trPr>
          <w:trHeight w:val="540"/>
        </w:trPr>
        <w:tc>
          <w:tcPr>
            <w:tcW w:w="3175"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1547DE" w:rsidRPr="00462493" w:rsidRDefault="001547DE" w:rsidP="00142C69">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1547DE" w:rsidRPr="00462493" w:rsidRDefault="001547DE" w:rsidP="00142C69">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1547DE" w:rsidRDefault="001547DE" w:rsidP="00142C69">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547DE" w:rsidRDefault="001547DE" w:rsidP="00142C69">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1547DE" w:rsidRDefault="001547DE" w:rsidP="00142C69">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1547DE" w:rsidRDefault="001547DE" w:rsidP="00142C69">
            <w:pPr>
              <w:rPr>
                <w:rFonts w:ascii="Calibri" w:hAnsi="Calibri" w:cs="Calibri"/>
                <w:b/>
                <w:bCs/>
                <w:color w:val="000000"/>
              </w:rPr>
            </w:pPr>
            <w:r>
              <w:rPr>
                <w:rFonts w:ascii="Calibri" w:hAnsi="Calibri" w:cs="Calibri"/>
                <w:b/>
                <w:bCs/>
                <w:color w:val="000000"/>
              </w:rPr>
              <w:t>45-54</w:t>
            </w:r>
          </w:p>
        </w:tc>
      </w:tr>
      <w:tr w:rsidR="001547DE" w:rsidRPr="001547DE" w:rsidTr="001547DE">
        <w:trPr>
          <w:trHeight w:val="300"/>
        </w:trPr>
        <w:tc>
          <w:tcPr>
            <w:tcW w:w="3175"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1547DE" w:rsidRPr="001547DE" w:rsidRDefault="001547DE" w:rsidP="00142C69">
            <w:pPr>
              <w:rPr>
                <w:rFonts w:asciiTheme="minorHAnsi" w:hAnsiTheme="minorHAnsi" w:cstheme="minorHAnsi"/>
                <w:b/>
              </w:rPr>
            </w:pPr>
            <w:r>
              <w:rPr>
                <w:rFonts w:asciiTheme="minorHAnsi" w:hAnsiTheme="minorHAnsi" w:cstheme="minorHAnsi"/>
                <w:b/>
              </w:rPr>
              <w:t>Breastfed over 6 months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14</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21</w:t>
            </w:r>
          </w:p>
        </w:tc>
        <w:tc>
          <w:tcPr>
            <w:tcW w:w="688" w:type="dxa"/>
            <w:gridSpan w:val="2"/>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19</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14</w:t>
            </w:r>
          </w:p>
        </w:tc>
        <w:tc>
          <w:tcPr>
            <w:tcW w:w="87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27</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19</w:t>
            </w:r>
          </w:p>
        </w:tc>
        <w:tc>
          <w:tcPr>
            <w:tcW w:w="440" w:type="dxa"/>
            <w:tcBorders>
              <w:top w:val="single" w:sz="12" w:space="0" w:color="auto"/>
              <w:left w:val="nil"/>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21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19</w:t>
            </w:r>
          </w:p>
        </w:tc>
      </w:tr>
      <w:tr w:rsidR="001547DE" w:rsidRPr="001547DE" w:rsidTr="001547DE">
        <w:trPr>
          <w:trHeight w:val="300"/>
        </w:trPr>
        <w:tc>
          <w:tcPr>
            <w:tcW w:w="3175"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1547DE" w:rsidRPr="001547DE" w:rsidRDefault="001547DE" w:rsidP="001547DE">
            <w:pPr>
              <w:rPr>
                <w:rFonts w:asciiTheme="minorHAnsi" w:hAnsiTheme="minorHAnsi" w:cstheme="minorHAnsi"/>
                <w:b/>
              </w:rPr>
            </w:pPr>
            <w:r>
              <w:rPr>
                <w:rFonts w:asciiTheme="minorHAnsi" w:hAnsiTheme="minorHAnsi" w:cstheme="minorHAnsi"/>
                <w:b/>
              </w:rPr>
              <w:t xml:space="preserve">Breastfed between 3 and </w:t>
            </w:r>
            <w:r w:rsidRPr="001547DE">
              <w:rPr>
                <w:rFonts w:asciiTheme="minorHAnsi" w:hAnsiTheme="minorHAnsi" w:cstheme="minorHAnsi"/>
                <w:b/>
              </w:rPr>
              <w:t>6 months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13</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12</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13</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12</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15</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11</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10</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14</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13</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r>
      <w:tr w:rsidR="001547DE" w:rsidRPr="001547DE" w:rsidTr="001547DE">
        <w:trPr>
          <w:trHeight w:val="300"/>
        </w:trPr>
        <w:tc>
          <w:tcPr>
            <w:tcW w:w="3175"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1547DE" w:rsidRPr="001547DE" w:rsidRDefault="001547DE" w:rsidP="001547DE">
            <w:pPr>
              <w:rPr>
                <w:rFonts w:asciiTheme="minorHAnsi" w:hAnsiTheme="minorHAnsi" w:cstheme="minorHAnsi"/>
                <w:b/>
              </w:rPr>
            </w:pPr>
            <w:r w:rsidRPr="001547DE">
              <w:rPr>
                <w:rFonts w:asciiTheme="minorHAnsi" w:hAnsiTheme="minorHAnsi" w:cstheme="minorHAnsi"/>
                <w:b/>
              </w:rPr>
              <w:t xml:space="preserve">Breastfed 6 weeks </w:t>
            </w:r>
            <w:r>
              <w:rPr>
                <w:rFonts w:asciiTheme="minorHAnsi" w:hAnsiTheme="minorHAnsi" w:cstheme="minorHAnsi"/>
                <w:b/>
              </w:rPr>
              <w:t>to</w:t>
            </w:r>
            <w:r w:rsidRPr="001547DE">
              <w:rPr>
                <w:rFonts w:asciiTheme="minorHAnsi" w:hAnsiTheme="minorHAnsi" w:cstheme="minorHAnsi"/>
                <w:b/>
              </w:rPr>
              <w:t xml:space="preserve"> 3 months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8</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8</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12</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14</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6</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6</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9</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10</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8</w:t>
            </w:r>
          </w:p>
        </w:tc>
      </w:tr>
      <w:tr w:rsidR="001547DE" w:rsidRPr="001547DE" w:rsidTr="001547DE">
        <w:trPr>
          <w:trHeight w:val="300"/>
        </w:trPr>
        <w:tc>
          <w:tcPr>
            <w:tcW w:w="3175"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1547DE" w:rsidRPr="001547DE" w:rsidRDefault="001547DE" w:rsidP="00142C69">
            <w:pPr>
              <w:rPr>
                <w:rFonts w:asciiTheme="minorHAnsi" w:hAnsiTheme="minorHAnsi" w:cstheme="minorHAnsi"/>
                <w:b/>
              </w:rPr>
            </w:pPr>
            <w:r w:rsidRPr="001547DE">
              <w:rPr>
                <w:rFonts w:asciiTheme="minorHAnsi" w:hAnsiTheme="minorHAnsi" w:cstheme="minorHAnsi"/>
                <w:b/>
              </w:rPr>
              <w:t>Breastfed under 6 weeks</w:t>
            </w:r>
          </w:p>
        </w:tc>
        <w:tc>
          <w:tcPr>
            <w:tcW w:w="71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18</w:t>
            </w:r>
          </w:p>
        </w:tc>
        <w:tc>
          <w:tcPr>
            <w:tcW w:w="630"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55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20</w:t>
            </w:r>
          </w:p>
        </w:tc>
        <w:tc>
          <w:tcPr>
            <w:tcW w:w="688"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15</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19</w:t>
            </w:r>
          </w:p>
        </w:tc>
        <w:tc>
          <w:tcPr>
            <w:tcW w:w="7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825"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24</w:t>
            </w:r>
          </w:p>
        </w:tc>
        <w:tc>
          <w:tcPr>
            <w:tcW w:w="871"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15</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21</w:t>
            </w:r>
          </w:p>
        </w:tc>
        <w:tc>
          <w:tcPr>
            <w:tcW w:w="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871"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22</w:t>
            </w:r>
          </w:p>
        </w:tc>
        <w:tc>
          <w:tcPr>
            <w:tcW w:w="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18</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20</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17</w:t>
            </w:r>
          </w:p>
        </w:tc>
        <w:tc>
          <w:tcPr>
            <w:tcW w:w="440"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16</w:t>
            </w:r>
          </w:p>
        </w:tc>
      </w:tr>
      <w:tr w:rsidR="001547DE" w:rsidRPr="001547DE" w:rsidTr="001547DE">
        <w:trPr>
          <w:trHeight w:val="300"/>
        </w:trPr>
        <w:tc>
          <w:tcPr>
            <w:tcW w:w="3175"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1547DE" w:rsidRPr="001547DE" w:rsidRDefault="001547DE">
            <w:pPr>
              <w:rPr>
                <w:rFonts w:asciiTheme="minorHAnsi" w:hAnsiTheme="minorHAnsi" w:cstheme="minorHAnsi"/>
                <w:b/>
              </w:rPr>
            </w:pPr>
            <w:r w:rsidRPr="001547DE">
              <w:rPr>
                <w:rFonts w:asciiTheme="minorHAnsi" w:hAnsiTheme="minorHAnsi" w:cstheme="minorHAnsi"/>
                <w:b/>
              </w:rPr>
              <w:t>Did not breastfeed</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48</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37</w:t>
            </w:r>
          </w:p>
        </w:tc>
        <w:tc>
          <w:tcPr>
            <w:tcW w:w="688" w:type="dxa"/>
            <w:gridSpan w:val="2"/>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52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43</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37</w:t>
            </w:r>
          </w:p>
        </w:tc>
        <w:tc>
          <w:tcPr>
            <w:tcW w:w="871"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63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39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40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37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1547DE" w:rsidRPr="00A84A14" w:rsidRDefault="001547DE">
            <w:pPr>
              <w:jc w:val="right"/>
              <w:rPr>
                <w:rFonts w:ascii="Calibri" w:hAnsi="Calibri" w:cs="Calibri"/>
                <w:sz w:val="22"/>
                <w:szCs w:val="22"/>
              </w:rPr>
            </w:pPr>
            <w:r w:rsidRPr="00A84A14">
              <w:rPr>
                <w:rFonts w:ascii="Calibri" w:hAnsi="Calibri" w:cs="Calibri"/>
                <w:sz w:val="22"/>
                <w:szCs w:val="22"/>
              </w:rPr>
              <w:t>36</w:t>
            </w:r>
          </w:p>
        </w:tc>
        <w:tc>
          <w:tcPr>
            <w:tcW w:w="440" w:type="dxa"/>
            <w:tcBorders>
              <w:top w:val="nil"/>
              <w:left w:val="nil"/>
              <w:bottom w:val="single" w:sz="12"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54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47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40</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1547DE" w:rsidRPr="00A84A14" w:rsidRDefault="001547DE">
            <w:pPr>
              <w:jc w:val="right"/>
              <w:rPr>
                <w:rFonts w:ascii="Calibri" w:hAnsi="Calibri" w:cs="Calibri"/>
                <w:sz w:val="22"/>
                <w:szCs w:val="22"/>
              </w:rPr>
            </w:pPr>
            <w:r w:rsidRPr="00A84A14">
              <w:rPr>
                <w:rFonts w:ascii="Calibri" w:hAnsi="Calibri" w:cs="Calibri"/>
                <w:sz w:val="22"/>
                <w:szCs w:val="22"/>
              </w:rPr>
              <w:t>41</w:t>
            </w:r>
          </w:p>
        </w:tc>
      </w:tr>
    </w:tbl>
    <w:p w:rsidR="00873259" w:rsidRPr="001547DE" w:rsidRDefault="00873259" w:rsidP="00597CCA">
      <w:pPr>
        <w:tabs>
          <w:tab w:val="center" w:pos="4075"/>
        </w:tabs>
        <w:autoSpaceDE w:val="0"/>
        <w:autoSpaceDN w:val="0"/>
        <w:adjustRightInd w:val="0"/>
        <w:rPr>
          <w:rFonts w:asciiTheme="minorHAnsi" w:hAnsiTheme="minorHAnsi" w:cstheme="minorHAnsi"/>
          <w:b/>
          <w:sz w:val="22"/>
          <w:szCs w:val="22"/>
        </w:rPr>
      </w:pPr>
    </w:p>
    <w:p w:rsidR="00684B5E" w:rsidRDefault="00684B5E" w:rsidP="00597CCA">
      <w:pPr>
        <w:tabs>
          <w:tab w:val="center" w:pos="4075"/>
        </w:tabs>
        <w:autoSpaceDE w:val="0"/>
        <w:autoSpaceDN w:val="0"/>
        <w:adjustRightInd w:val="0"/>
        <w:rPr>
          <w:rFonts w:asciiTheme="minorHAnsi" w:hAnsiTheme="minorHAnsi" w:cstheme="minorHAnsi"/>
          <w:b/>
          <w:sz w:val="22"/>
          <w:szCs w:val="22"/>
        </w:rPr>
      </w:pPr>
    </w:p>
    <w:bookmarkEnd w:id="61"/>
    <w:p w:rsidR="00850B40" w:rsidRDefault="00850B40" w:rsidP="00597CCA">
      <w:pPr>
        <w:tabs>
          <w:tab w:val="center" w:pos="4075"/>
        </w:tabs>
        <w:autoSpaceDE w:val="0"/>
        <w:autoSpaceDN w:val="0"/>
        <w:adjustRightInd w:val="0"/>
        <w:rPr>
          <w:rFonts w:asciiTheme="minorHAnsi" w:hAnsiTheme="minorHAnsi" w:cstheme="minorHAnsi"/>
          <w:b/>
          <w:sz w:val="22"/>
          <w:szCs w:val="22"/>
        </w:rPr>
      </w:pPr>
    </w:p>
    <w:p w:rsidR="00760B36" w:rsidRDefault="00760B36" w:rsidP="00597CCA">
      <w:pPr>
        <w:tabs>
          <w:tab w:val="center" w:pos="4075"/>
        </w:tabs>
        <w:autoSpaceDE w:val="0"/>
        <w:autoSpaceDN w:val="0"/>
        <w:adjustRightInd w:val="0"/>
        <w:rPr>
          <w:rFonts w:asciiTheme="minorHAnsi" w:hAnsiTheme="minorHAnsi" w:cstheme="minorHAnsi"/>
          <w:b/>
          <w:sz w:val="22"/>
          <w:szCs w:val="22"/>
        </w:rPr>
      </w:pPr>
    </w:p>
    <w:p w:rsidR="00760B36" w:rsidRDefault="00760B36"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555E2B" w:rsidRDefault="00555E2B"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67690C" w:rsidRDefault="0067690C" w:rsidP="00597CCA">
      <w:pPr>
        <w:tabs>
          <w:tab w:val="center" w:pos="4075"/>
        </w:tabs>
        <w:autoSpaceDE w:val="0"/>
        <w:autoSpaceDN w:val="0"/>
        <w:adjustRightInd w:val="0"/>
        <w:rPr>
          <w:rFonts w:asciiTheme="minorHAnsi" w:hAnsiTheme="minorHAnsi" w:cstheme="minorHAnsi"/>
          <w:b/>
          <w:sz w:val="22"/>
          <w:szCs w:val="22"/>
        </w:rPr>
      </w:pPr>
    </w:p>
    <w:p w:rsidR="008953F3" w:rsidRPr="00AC756F" w:rsidRDefault="008953F3" w:rsidP="00AC756F">
      <w:pPr>
        <w:pStyle w:val="Heading3"/>
        <w:spacing w:before="0"/>
        <w:rPr>
          <w:rFonts w:asciiTheme="minorHAnsi" w:hAnsiTheme="minorHAnsi" w:cstheme="minorHAnsi"/>
          <w:color w:val="auto"/>
          <w:sz w:val="22"/>
          <w:szCs w:val="22"/>
        </w:rPr>
      </w:pPr>
      <w:bookmarkStart w:id="83" w:name="_Ref381946747"/>
      <w:r w:rsidRPr="00AC756F">
        <w:rPr>
          <w:rFonts w:asciiTheme="minorHAnsi" w:hAnsiTheme="minorHAnsi" w:cstheme="minorHAnsi"/>
          <w:color w:val="auto"/>
          <w:sz w:val="22"/>
          <w:szCs w:val="22"/>
        </w:rPr>
        <w:t>Sun Protection Measures</w:t>
      </w:r>
      <w:bookmarkEnd w:id="83"/>
    </w:p>
    <w:tbl>
      <w:tblPr>
        <w:tblW w:w="14673" w:type="dxa"/>
        <w:tblInd w:w="93" w:type="dxa"/>
        <w:tblLook w:val="04A0" w:firstRow="1" w:lastRow="0" w:firstColumn="1" w:lastColumn="0" w:noHBand="0" w:noVBand="1"/>
      </w:tblPr>
      <w:tblGrid>
        <w:gridCol w:w="1361"/>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5"/>
      </w:tblGrid>
      <w:tr w:rsidR="008953F3" w:rsidRPr="00EB5B0E" w:rsidTr="004E2A30">
        <w:trPr>
          <w:trHeight w:val="227"/>
        </w:trPr>
        <w:tc>
          <w:tcPr>
            <w:tcW w:w="1361"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8953F3" w:rsidRPr="00BE1A84" w:rsidRDefault="008953F3" w:rsidP="008953F3">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953661" w:rsidRDefault="008953F3" w:rsidP="008953F3">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E34B2" w:rsidRDefault="008953F3" w:rsidP="008953F3">
            <w:pPr>
              <w:jc w:val="center"/>
              <w:rPr>
                <w:rFonts w:ascii="Calibri" w:hAnsi="Calibri" w:cs="Calibri"/>
                <w:b/>
                <w:bCs/>
                <w:color w:val="000000"/>
                <w:sz w:val="19"/>
                <w:szCs w:val="19"/>
                <w:lang w:eastAsia="en-GB"/>
              </w:rPr>
            </w:pPr>
            <w:r w:rsidRPr="004E34B2">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8"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8953F3" w:rsidRPr="00EB5B0E" w:rsidRDefault="008953F3" w:rsidP="008953F3">
            <w:pPr>
              <w:jc w:val="center"/>
              <w:rPr>
                <w:rFonts w:ascii="Calibri" w:hAnsi="Calibri" w:cs="Calibri"/>
                <w:b/>
                <w:bCs/>
                <w:color w:val="000000"/>
                <w:lang w:eastAsia="en-GB"/>
              </w:rPr>
            </w:pPr>
            <w:r>
              <w:rPr>
                <w:rFonts w:ascii="Calibri" w:hAnsi="Calibri" w:cs="Calibri"/>
                <w:b/>
                <w:bCs/>
                <w:color w:val="000000"/>
                <w:lang w:eastAsia="en-GB"/>
              </w:rPr>
              <w:t>Age</w:t>
            </w:r>
          </w:p>
        </w:tc>
      </w:tr>
      <w:tr w:rsidR="008953F3" w:rsidRPr="00462493" w:rsidTr="004E2A30">
        <w:trPr>
          <w:trHeight w:val="540"/>
        </w:trPr>
        <w:tc>
          <w:tcPr>
            <w:tcW w:w="1361"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953F3" w:rsidRPr="00462493" w:rsidRDefault="008953F3" w:rsidP="008953F3">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65-74</w:t>
            </w:r>
          </w:p>
        </w:tc>
        <w:tc>
          <w:tcPr>
            <w:tcW w:w="445"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75+</w:t>
            </w:r>
          </w:p>
        </w:tc>
      </w:tr>
      <w:tr w:rsidR="008953F3" w:rsidTr="004E2A30">
        <w:trPr>
          <w:trHeight w:val="300"/>
        </w:trPr>
        <w:tc>
          <w:tcPr>
            <w:tcW w:w="136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I use sunscreen</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68</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57</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74</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68</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72</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78</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57</w:t>
            </w:r>
          </w:p>
        </w:tc>
        <w:tc>
          <w:tcPr>
            <w:tcW w:w="445"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33</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I wear a hat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27</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39</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36</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33</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Where practical I stay in the shade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Pr>
                <w:rFonts w:ascii="Calibri" w:hAnsi="Calibri" w:cs="Calibri"/>
                <w:b/>
                <w:bCs/>
                <w:color w:val="000000"/>
                <w:sz w:val="18"/>
                <w:szCs w:val="18"/>
              </w:rPr>
              <w:t>I cover up (long sleeves</w:t>
            </w:r>
            <w:r w:rsidRPr="008953F3">
              <w:rPr>
                <w:rFonts w:ascii="Calibri" w:hAnsi="Calibri" w:cs="Calibri"/>
                <w:b/>
                <w:bCs/>
                <w:color w:val="000000"/>
                <w:sz w:val="18"/>
                <w:szCs w:val="18"/>
              </w:rPr>
              <w: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26</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I avoid the midday sun</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I never go out in the sun</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15</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27</w:t>
            </w:r>
          </w:p>
        </w:tc>
      </w:tr>
      <w:tr w:rsidR="008953F3"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I check my skin regularly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6</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5</w:t>
            </w:r>
          </w:p>
        </w:tc>
        <w:tc>
          <w:tcPr>
            <w:tcW w:w="445"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4</w:t>
            </w:r>
          </w:p>
        </w:tc>
      </w:tr>
      <w:tr w:rsidR="008953F3" w:rsidTr="004E2A30">
        <w:trPr>
          <w:trHeight w:val="300"/>
        </w:trPr>
        <w:tc>
          <w:tcPr>
            <w:tcW w:w="1361"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8953F3" w:rsidRDefault="008953F3" w:rsidP="00977928">
            <w:pPr>
              <w:jc w:val="left"/>
              <w:rPr>
                <w:rFonts w:ascii="Calibri" w:hAnsi="Calibri" w:cs="Calibri"/>
                <w:b/>
                <w:bCs/>
                <w:color w:val="000000"/>
                <w:sz w:val="18"/>
                <w:szCs w:val="18"/>
              </w:rPr>
            </w:pPr>
            <w:r w:rsidRPr="008953F3">
              <w:rPr>
                <w:rFonts w:ascii="Calibri" w:hAnsi="Calibri" w:cs="Calibri"/>
                <w:b/>
                <w:bCs/>
                <w:color w:val="000000"/>
                <w:sz w:val="18"/>
                <w:szCs w:val="18"/>
              </w:rPr>
              <w:t>No protective measures taken</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14</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21</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15</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12</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10</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16</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8953F3" w:rsidRDefault="008953F3">
            <w:pPr>
              <w:jc w:val="right"/>
              <w:rPr>
                <w:rFonts w:ascii="Calibri" w:hAnsi="Calibri" w:cs="Calibri"/>
                <w:color w:val="000000"/>
                <w:sz w:val="22"/>
                <w:szCs w:val="22"/>
              </w:rPr>
            </w:pPr>
            <w:r>
              <w:rPr>
                <w:rFonts w:ascii="Calibri" w:hAnsi="Calibri" w:cs="Calibri"/>
                <w:color w:val="000000"/>
                <w:sz w:val="22"/>
                <w:szCs w:val="22"/>
              </w:rPr>
              <w:t>8</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13</w:t>
            </w:r>
          </w:p>
        </w:tc>
        <w:tc>
          <w:tcPr>
            <w:tcW w:w="445"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8953F3" w:rsidRDefault="008953F3">
            <w:pPr>
              <w:jc w:val="right"/>
              <w:rPr>
                <w:rFonts w:ascii="Calibri" w:hAnsi="Calibri" w:cs="Calibri"/>
                <w:color w:val="000000"/>
                <w:sz w:val="22"/>
                <w:szCs w:val="22"/>
              </w:rPr>
            </w:pPr>
            <w:r>
              <w:rPr>
                <w:rFonts w:ascii="Calibri" w:hAnsi="Calibri" w:cs="Calibri"/>
                <w:color w:val="000000"/>
                <w:sz w:val="22"/>
                <w:szCs w:val="22"/>
              </w:rPr>
              <w:t>16</w:t>
            </w:r>
          </w:p>
        </w:tc>
      </w:tr>
    </w:tbl>
    <w:p w:rsidR="008953F3" w:rsidRPr="004E34B2" w:rsidRDefault="008953F3" w:rsidP="00873670">
      <w:pPr>
        <w:spacing w:before="120"/>
        <w:rPr>
          <w:rFonts w:ascii="Calibri" w:hAnsi="Calibri" w:cs="Calibri"/>
          <w:b/>
          <w:color w:val="000000"/>
          <w:sz w:val="22"/>
          <w:szCs w:val="22"/>
        </w:rPr>
      </w:pPr>
      <w:r w:rsidRPr="004E34B2">
        <w:rPr>
          <w:rFonts w:ascii="Calibri" w:hAnsi="Calibri" w:cs="Calibri"/>
          <w:b/>
          <w:color w:val="000000"/>
          <w:sz w:val="22"/>
          <w:szCs w:val="22"/>
        </w:rPr>
        <w:t>For those who stated that they use sunscreen - Use of Sunscreen</w:t>
      </w:r>
    </w:p>
    <w:tbl>
      <w:tblPr>
        <w:tblW w:w="14668" w:type="dxa"/>
        <w:tblInd w:w="93" w:type="dxa"/>
        <w:tblLook w:val="04A0" w:firstRow="1" w:lastRow="0" w:firstColumn="1" w:lastColumn="0" w:noHBand="0" w:noVBand="1"/>
      </w:tblPr>
      <w:tblGrid>
        <w:gridCol w:w="1361"/>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8953F3" w:rsidRPr="00EB5B0E" w:rsidTr="004E2A30">
        <w:trPr>
          <w:trHeight w:val="227"/>
        </w:trPr>
        <w:tc>
          <w:tcPr>
            <w:tcW w:w="1361"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8953F3" w:rsidRPr="00BE1A84" w:rsidRDefault="008953F3" w:rsidP="008953F3">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953661" w:rsidRDefault="008953F3" w:rsidP="008953F3">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951E81" w:rsidRDefault="008953F3" w:rsidP="008953F3">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EB5B0E" w:rsidRDefault="008953F3" w:rsidP="008953F3">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8953F3" w:rsidRPr="00EB5B0E" w:rsidRDefault="008953F3" w:rsidP="008953F3">
            <w:pPr>
              <w:jc w:val="center"/>
              <w:rPr>
                <w:rFonts w:ascii="Calibri" w:hAnsi="Calibri" w:cs="Calibri"/>
                <w:b/>
                <w:bCs/>
                <w:color w:val="000000"/>
                <w:lang w:eastAsia="en-GB"/>
              </w:rPr>
            </w:pPr>
            <w:r>
              <w:rPr>
                <w:rFonts w:ascii="Calibri" w:hAnsi="Calibri" w:cs="Calibri"/>
                <w:b/>
                <w:bCs/>
                <w:color w:val="000000"/>
                <w:lang w:eastAsia="en-GB"/>
              </w:rPr>
              <w:t>Age</w:t>
            </w:r>
          </w:p>
        </w:tc>
      </w:tr>
      <w:tr w:rsidR="008953F3" w:rsidRPr="00462493" w:rsidTr="004E2A30">
        <w:trPr>
          <w:trHeight w:val="540"/>
        </w:trPr>
        <w:tc>
          <w:tcPr>
            <w:tcW w:w="1361"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8953F3" w:rsidRPr="00462493" w:rsidRDefault="008953F3" w:rsidP="008953F3">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8953F3" w:rsidRPr="00462493" w:rsidRDefault="008953F3" w:rsidP="008953F3">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8953F3" w:rsidRDefault="008953F3" w:rsidP="008953F3">
            <w:pPr>
              <w:rPr>
                <w:rFonts w:ascii="Calibri" w:hAnsi="Calibri" w:cs="Calibri"/>
                <w:b/>
                <w:bCs/>
                <w:color w:val="000000"/>
              </w:rPr>
            </w:pPr>
            <w:r>
              <w:rPr>
                <w:rFonts w:ascii="Calibri" w:hAnsi="Calibri" w:cs="Calibri"/>
                <w:b/>
                <w:bCs/>
                <w:color w:val="000000"/>
              </w:rPr>
              <w:t>75+</w:t>
            </w:r>
          </w:p>
        </w:tc>
      </w:tr>
      <w:tr w:rsidR="004E34B2" w:rsidTr="004E2A30">
        <w:trPr>
          <w:trHeight w:val="300"/>
        </w:trPr>
        <w:tc>
          <w:tcPr>
            <w:tcW w:w="136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E34B2" w:rsidRPr="006B5771" w:rsidRDefault="004E34B2" w:rsidP="00977928">
            <w:pPr>
              <w:jc w:val="left"/>
              <w:rPr>
                <w:rFonts w:ascii="Calibri" w:hAnsi="Calibri" w:cs="Calibri"/>
                <w:b/>
                <w:bCs/>
                <w:color w:val="000000"/>
                <w:sz w:val="18"/>
                <w:szCs w:val="18"/>
              </w:rPr>
            </w:pPr>
            <w:r w:rsidRPr="006B5771">
              <w:rPr>
                <w:rFonts w:ascii="Calibri" w:hAnsi="Calibri" w:cs="Calibri"/>
                <w:b/>
                <w:bCs/>
                <w:color w:val="000000"/>
                <w:sz w:val="18"/>
                <w:szCs w:val="18"/>
              </w:rPr>
              <w:t>Sunbathing abroad in a warm country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79</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80</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79</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76</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78</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73</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76</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83</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83</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47</w:t>
            </w:r>
          </w:p>
        </w:tc>
      </w:tr>
      <w:tr w:rsidR="004E34B2"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E34B2" w:rsidRPr="006B5771" w:rsidRDefault="004E34B2" w:rsidP="00977928">
            <w:pPr>
              <w:jc w:val="left"/>
              <w:rPr>
                <w:rFonts w:ascii="Calibri" w:hAnsi="Calibri" w:cs="Calibri"/>
                <w:b/>
                <w:bCs/>
                <w:color w:val="000000"/>
                <w:sz w:val="18"/>
                <w:szCs w:val="18"/>
              </w:rPr>
            </w:pPr>
            <w:r w:rsidRPr="006B5771">
              <w:rPr>
                <w:rFonts w:ascii="Calibri" w:hAnsi="Calibri" w:cs="Calibri"/>
                <w:b/>
                <w:bCs/>
                <w:color w:val="000000"/>
                <w:sz w:val="18"/>
                <w:szCs w:val="18"/>
              </w:rPr>
              <w:t>Outdoors abroad but not sunbathing</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75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70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72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46</w:t>
            </w:r>
          </w:p>
        </w:tc>
      </w:tr>
      <w:tr w:rsidR="004E34B2" w:rsidTr="004E2A30">
        <w:trPr>
          <w:trHeight w:val="300"/>
        </w:trPr>
        <w:tc>
          <w:tcPr>
            <w:tcW w:w="1361"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4E34B2" w:rsidRPr="006B5771" w:rsidRDefault="004E34B2" w:rsidP="00977928">
            <w:pPr>
              <w:jc w:val="left"/>
              <w:rPr>
                <w:rFonts w:ascii="Calibri" w:hAnsi="Calibri" w:cs="Calibri"/>
                <w:b/>
                <w:bCs/>
                <w:color w:val="000000"/>
                <w:sz w:val="18"/>
                <w:szCs w:val="18"/>
              </w:rPr>
            </w:pPr>
            <w:r w:rsidRPr="006B5771">
              <w:rPr>
                <w:rFonts w:ascii="Calibri" w:hAnsi="Calibri" w:cs="Calibri"/>
                <w:b/>
                <w:bCs/>
                <w:color w:val="000000"/>
                <w:sz w:val="18"/>
                <w:szCs w:val="18"/>
              </w:rPr>
              <w:t>Sunbathing in this country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63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49</w:t>
            </w:r>
          </w:p>
        </w:tc>
      </w:tr>
      <w:tr w:rsidR="004E34B2" w:rsidTr="004E2A30">
        <w:trPr>
          <w:trHeight w:val="300"/>
        </w:trPr>
        <w:tc>
          <w:tcPr>
            <w:tcW w:w="1361"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6B5771" w:rsidRDefault="004E34B2" w:rsidP="00977928">
            <w:pPr>
              <w:jc w:val="left"/>
              <w:rPr>
                <w:rFonts w:ascii="Calibri" w:hAnsi="Calibri" w:cs="Calibri"/>
                <w:b/>
                <w:bCs/>
                <w:color w:val="000000"/>
                <w:sz w:val="18"/>
                <w:szCs w:val="18"/>
              </w:rPr>
            </w:pPr>
            <w:r w:rsidRPr="006B5771">
              <w:rPr>
                <w:rFonts w:ascii="Calibri" w:hAnsi="Calibri" w:cs="Calibri"/>
                <w:b/>
                <w:bCs/>
                <w:color w:val="000000"/>
                <w:sz w:val="18"/>
                <w:szCs w:val="18"/>
              </w:rPr>
              <w:t>Outdoors in this country but not sunbathing</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51</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46</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54</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49</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55</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46</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49</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51</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55</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52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4E34B2" w:rsidRDefault="004E34B2">
            <w:pPr>
              <w:jc w:val="right"/>
              <w:rPr>
                <w:rFonts w:ascii="Calibri" w:hAnsi="Calibri" w:cs="Calibri"/>
                <w:color w:val="000000"/>
                <w:sz w:val="22"/>
                <w:szCs w:val="22"/>
              </w:rPr>
            </w:pPr>
            <w:r>
              <w:rPr>
                <w:rFonts w:ascii="Calibri" w:hAnsi="Calibri" w:cs="Calibri"/>
                <w:color w:val="000000"/>
                <w:sz w:val="22"/>
                <w:szCs w:val="22"/>
              </w:rPr>
              <w:t>48</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38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44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59</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52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61</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4E34B2" w:rsidRDefault="004E34B2">
            <w:pPr>
              <w:jc w:val="right"/>
              <w:rPr>
                <w:rFonts w:ascii="Calibri" w:hAnsi="Calibri" w:cs="Calibri"/>
                <w:color w:val="000000"/>
                <w:sz w:val="22"/>
                <w:szCs w:val="22"/>
              </w:rPr>
            </w:pPr>
            <w:r>
              <w:rPr>
                <w:rFonts w:ascii="Calibri" w:hAnsi="Calibri" w:cs="Calibri"/>
                <w:color w:val="000000"/>
                <w:sz w:val="22"/>
                <w:szCs w:val="22"/>
              </w:rPr>
              <w:t>65</w:t>
            </w:r>
          </w:p>
        </w:tc>
      </w:tr>
      <w:tr w:rsidR="006B5771" w:rsidTr="004E2A30">
        <w:trPr>
          <w:trHeight w:val="300"/>
        </w:trPr>
        <w:tc>
          <w:tcPr>
            <w:tcW w:w="13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B5771" w:rsidRPr="006B5771" w:rsidRDefault="006B5771" w:rsidP="00977928">
            <w:pPr>
              <w:jc w:val="left"/>
              <w:rPr>
                <w:rFonts w:ascii="Calibri" w:hAnsi="Calibri" w:cs="Calibri"/>
                <w:b/>
                <w:bCs/>
                <w:color w:val="000000"/>
                <w:sz w:val="18"/>
                <w:szCs w:val="18"/>
              </w:rPr>
            </w:pPr>
            <w:r>
              <w:rPr>
                <w:rFonts w:ascii="Calibri" w:hAnsi="Calibri" w:cs="Calibri"/>
                <w:b/>
                <w:bCs/>
                <w:color w:val="000000"/>
                <w:sz w:val="18"/>
                <w:szCs w:val="18"/>
              </w:rPr>
              <w:t xml:space="preserve">% </w:t>
            </w:r>
            <w:r w:rsidR="004E2A30">
              <w:rPr>
                <w:rFonts w:ascii="Calibri" w:hAnsi="Calibri" w:cs="Calibri"/>
                <w:b/>
                <w:bCs/>
                <w:color w:val="000000"/>
                <w:sz w:val="18"/>
                <w:szCs w:val="18"/>
              </w:rPr>
              <w:t>u</w:t>
            </w:r>
            <w:r>
              <w:rPr>
                <w:rFonts w:ascii="Calibri" w:hAnsi="Calibri" w:cs="Calibri"/>
                <w:b/>
                <w:bCs/>
                <w:color w:val="000000"/>
                <w:sz w:val="18"/>
                <w:szCs w:val="18"/>
              </w:rPr>
              <w:t xml:space="preserve">sing </w:t>
            </w:r>
            <w:r w:rsidRPr="006B5771">
              <w:rPr>
                <w:rFonts w:ascii="Calibri" w:hAnsi="Calibri" w:cs="Calibri"/>
                <w:b/>
                <w:bCs/>
                <w:color w:val="000000"/>
                <w:sz w:val="18"/>
                <w:szCs w:val="18"/>
              </w:rPr>
              <w:t>S</w:t>
            </w:r>
            <w:r>
              <w:rPr>
                <w:rFonts w:ascii="Calibri" w:hAnsi="Calibri" w:cs="Calibri"/>
                <w:b/>
                <w:bCs/>
                <w:color w:val="000000"/>
                <w:sz w:val="18"/>
                <w:szCs w:val="18"/>
              </w:rPr>
              <w:t>un Protection Factor</w:t>
            </w:r>
            <w:r w:rsidRPr="006B5771">
              <w:rPr>
                <w:rFonts w:ascii="Calibri" w:hAnsi="Calibri" w:cs="Calibri"/>
                <w:b/>
                <w:bCs/>
                <w:color w:val="000000"/>
                <w:sz w:val="18"/>
                <w:szCs w:val="18"/>
              </w:rPr>
              <w:t xml:space="preserve"> 15 or over</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81</w:t>
            </w:r>
          </w:p>
        </w:tc>
        <w:tc>
          <w:tcPr>
            <w:tcW w:w="5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77</w:t>
            </w:r>
          </w:p>
        </w:tc>
        <w:tc>
          <w:tcPr>
            <w:tcW w:w="718"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83</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83</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81</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78</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82</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B5771" w:rsidRDefault="006B5771">
            <w:pPr>
              <w:jc w:val="right"/>
              <w:rPr>
                <w:rFonts w:ascii="Calibri" w:hAnsi="Calibri" w:cs="Calibri"/>
                <w:color w:val="000000"/>
                <w:sz w:val="22"/>
                <w:szCs w:val="22"/>
              </w:rPr>
            </w:pPr>
            <w:r>
              <w:rPr>
                <w:rFonts w:ascii="Calibri" w:hAnsi="Calibri" w:cs="Calibri"/>
                <w:color w:val="000000"/>
                <w:sz w:val="22"/>
                <w:szCs w:val="22"/>
              </w:rPr>
              <w:t>83</w:t>
            </w:r>
          </w:p>
        </w:tc>
        <w:tc>
          <w:tcPr>
            <w:tcW w:w="440" w:type="dxa"/>
            <w:gridSpan w:val="2"/>
            <w:tcBorders>
              <w:top w:val="single" w:sz="12" w:space="0" w:color="auto"/>
              <w:left w:val="nil"/>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81</w:t>
            </w:r>
          </w:p>
        </w:tc>
        <w:tc>
          <w:tcPr>
            <w:tcW w:w="4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bottom"/>
          </w:tcPr>
          <w:p w:rsidR="006B5771" w:rsidRDefault="006B5771">
            <w:pPr>
              <w:jc w:val="right"/>
              <w:rPr>
                <w:rFonts w:ascii="Calibri" w:hAnsi="Calibri" w:cs="Calibri"/>
                <w:color w:val="000000"/>
                <w:sz w:val="22"/>
                <w:szCs w:val="22"/>
              </w:rPr>
            </w:pPr>
            <w:r>
              <w:rPr>
                <w:rFonts w:ascii="Calibri" w:hAnsi="Calibri" w:cs="Calibri"/>
                <w:color w:val="000000"/>
                <w:sz w:val="22"/>
                <w:szCs w:val="22"/>
              </w:rPr>
              <w:t>85</w:t>
            </w:r>
          </w:p>
        </w:tc>
      </w:tr>
    </w:tbl>
    <w:p w:rsidR="004E2A30" w:rsidRDefault="004E2A30" w:rsidP="004E34B2">
      <w:pPr>
        <w:tabs>
          <w:tab w:val="center" w:pos="4075"/>
        </w:tabs>
        <w:autoSpaceDE w:val="0"/>
        <w:autoSpaceDN w:val="0"/>
        <w:adjustRightInd w:val="0"/>
        <w:rPr>
          <w:rFonts w:asciiTheme="minorHAnsi" w:hAnsiTheme="minorHAnsi" w:cstheme="minorHAnsi"/>
          <w:b/>
          <w:sz w:val="22"/>
          <w:szCs w:val="22"/>
        </w:rPr>
      </w:pPr>
    </w:p>
    <w:p w:rsidR="004E34B2" w:rsidRPr="00364AA3" w:rsidRDefault="00951E81" w:rsidP="00364AA3">
      <w:pPr>
        <w:pStyle w:val="Heading3"/>
        <w:spacing w:before="0"/>
        <w:rPr>
          <w:rFonts w:asciiTheme="minorHAnsi" w:hAnsiTheme="minorHAnsi" w:cstheme="minorHAnsi"/>
          <w:color w:val="auto"/>
          <w:sz w:val="22"/>
          <w:szCs w:val="22"/>
        </w:rPr>
      </w:pPr>
      <w:bookmarkStart w:id="84" w:name="_Ref381946753"/>
      <w:r w:rsidRPr="00364AA3">
        <w:rPr>
          <w:rFonts w:asciiTheme="minorHAnsi" w:hAnsiTheme="minorHAnsi" w:cstheme="minorHAnsi"/>
          <w:color w:val="auto"/>
          <w:sz w:val="22"/>
          <w:szCs w:val="22"/>
        </w:rPr>
        <w:t>Respondents’ opinion as to who should not use s</w:t>
      </w:r>
      <w:r w:rsidR="004E34B2" w:rsidRPr="00364AA3">
        <w:rPr>
          <w:rFonts w:asciiTheme="minorHAnsi" w:hAnsiTheme="minorHAnsi" w:cstheme="minorHAnsi"/>
          <w:color w:val="auto"/>
          <w:sz w:val="22"/>
          <w:szCs w:val="22"/>
        </w:rPr>
        <w:t>unbeds</w:t>
      </w:r>
      <w:bookmarkEnd w:id="84"/>
    </w:p>
    <w:tbl>
      <w:tblPr>
        <w:tblW w:w="14502" w:type="dxa"/>
        <w:tblInd w:w="93" w:type="dxa"/>
        <w:tblLook w:val="04A0" w:firstRow="1" w:lastRow="0" w:firstColumn="1" w:lastColumn="0" w:noHBand="0" w:noVBand="1"/>
      </w:tblPr>
      <w:tblGrid>
        <w:gridCol w:w="1195"/>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4E34B2" w:rsidRPr="00EB5B0E" w:rsidTr="00951E81">
        <w:trPr>
          <w:trHeight w:val="227"/>
        </w:trPr>
        <w:tc>
          <w:tcPr>
            <w:tcW w:w="119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4E34B2" w:rsidRPr="00BE1A84" w:rsidRDefault="004E34B2" w:rsidP="00831BDA">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953661" w:rsidRDefault="004E34B2" w:rsidP="00831BDA">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EB5B0E" w:rsidRDefault="004E34B2" w:rsidP="00831BDA">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951E81" w:rsidRDefault="004E34B2" w:rsidP="00831BDA">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EB5B0E" w:rsidRDefault="004E34B2" w:rsidP="00831BDA">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EB5B0E" w:rsidRDefault="004E34B2" w:rsidP="00831BDA">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4E34B2" w:rsidRPr="00EB5B0E" w:rsidRDefault="004E34B2" w:rsidP="00831BDA">
            <w:pPr>
              <w:jc w:val="center"/>
              <w:rPr>
                <w:rFonts w:ascii="Calibri" w:hAnsi="Calibri" w:cs="Calibri"/>
                <w:b/>
                <w:bCs/>
                <w:color w:val="000000"/>
                <w:lang w:eastAsia="en-GB"/>
              </w:rPr>
            </w:pPr>
            <w:r>
              <w:rPr>
                <w:rFonts w:ascii="Calibri" w:hAnsi="Calibri" w:cs="Calibri"/>
                <w:b/>
                <w:bCs/>
                <w:color w:val="000000"/>
                <w:lang w:eastAsia="en-GB"/>
              </w:rPr>
              <w:t>Age</w:t>
            </w:r>
          </w:p>
        </w:tc>
      </w:tr>
      <w:tr w:rsidR="004E34B2" w:rsidRPr="00462493" w:rsidTr="00831BDA">
        <w:trPr>
          <w:trHeight w:val="540"/>
        </w:trPr>
        <w:tc>
          <w:tcPr>
            <w:tcW w:w="1195"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4E34B2" w:rsidRPr="00462493" w:rsidRDefault="004E34B2" w:rsidP="00831BDA">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4E34B2" w:rsidRPr="00462493" w:rsidRDefault="004E34B2" w:rsidP="00831BDA">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4E34B2" w:rsidRDefault="004E34B2" w:rsidP="00831BDA">
            <w:pPr>
              <w:rPr>
                <w:rFonts w:ascii="Calibri" w:hAnsi="Calibri" w:cs="Calibri"/>
                <w:b/>
                <w:bCs/>
                <w:color w:val="000000"/>
              </w:rPr>
            </w:pPr>
            <w:r>
              <w:rPr>
                <w:rFonts w:ascii="Calibri" w:hAnsi="Calibri" w:cs="Calibri"/>
                <w:b/>
                <w:bCs/>
                <w:color w:val="000000"/>
              </w:rPr>
              <w:t>75+</w:t>
            </w:r>
          </w:p>
        </w:tc>
      </w:tr>
      <w:tr w:rsidR="00951E81" w:rsidTr="00E929E2">
        <w:trPr>
          <w:trHeight w:val="300"/>
        </w:trPr>
        <w:tc>
          <w:tcPr>
            <w:tcW w:w="1195"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Children under 10</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96</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96</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96</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95</w:t>
            </w:r>
          </w:p>
        </w:tc>
      </w:tr>
      <w:tr w:rsidR="00951E81" w:rsidTr="00E929E2">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Young People under 18</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r>
      <w:tr w:rsidR="00951E81" w:rsidTr="00E929E2">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People with a family history of skin cancer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r>
      <w:tr w:rsidR="00951E81" w:rsidTr="00E929E2">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 xml:space="preserve">People with fair sensitive skin </w:t>
            </w:r>
            <w:r w:rsidR="00D5511B">
              <w:rPr>
                <w:rFonts w:ascii="Calibri" w:hAnsi="Calibri" w:cs="Calibri"/>
                <w:b/>
                <w:bCs/>
                <w:color w:val="000000"/>
                <w:sz w:val="18"/>
                <w:szCs w:val="18"/>
              </w:rPr>
              <w:t>(</w:t>
            </w:r>
            <w:r w:rsidRPr="00951E81">
              <w:rPr>
                <w:rFonts w:ascii="Calibri" w:hAnsi="Calibri" w:cs="Calibri"/>
                <w:b/>
                <w:bCs/>
                <w:color w:val="000000"/>
                <w:sz w:val="18"/>
                <w:szCs w:val="18"/>
              </w:rPr>
              <w:t xml:space="preserve">burns easily </w:t>
            </w:r>
            <w:r w:rsidR="00D5511B">
              <w:rPr>
                <w:rFonts w:ascii="Calibri" w:hAnsi="Calibri" w:cs="Calibri"/>
                <w:b/>
                <w:bCs/>
                <w:color w:val="000000"/>
                <w:sz w:val="18"/>
                <w:szCs w:val="18"/>
              </w:rPr>
              <w:t xml:space="preserve">/ </w:t>
            </w:r>
            <w:r w:rsidRPr="00951E81">
              <w:rPr>
                <w:rFonts w:ascii="Calibri" w:hAnsi="Calibri" w:cs="Calibri"/>
                <w:b/>
                <w:bCs/>
                <w:color w:val="000000"/>
                <w:sz w:val="18"/>
                <w:szCs w:val="18"/>
              </w:rPr>
              <w:t>tans slowly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79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94</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r>
      <w:tr w:rsidR="00951E81" w:rsidTr="00E929E2">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People with a large number of moles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77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r>
      <w:tr w:rsidR="00951E81" w:rsidTr="00E929E2">
        <w:trPr>
          <w:trHeight w:val="300"/>
        </w:trPr>
        <w:tc>
          <w:tcPr>
            <w:tcW w:w="1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951E81" w:rsidRPr="00951E81" w:rsidRDefault="00D5511B" w:rsidP="00977928">
            <w:pPr>
              <w:jc w:val="left"/>
              <w:rPr>
                <w:rFonts w:ascii="Calibri" w:hAnsi="Calibri" w:cs="Calibri"/>
                <w:b/>
                <w:bCs/>
                <w:color w:val="000000"/>
                <w:sz w:val="18"/>
                <w:szCs w:val="18"/>
              </w:rPr>
            </w:pPr>
            <w:r>
              <w:rPr>
                <w:rFonts w:ascii="Calibri" w:hAnsi="Calibri" w:cs="Calibri"/>
                <w:b/>
                <w:bCs/>
                <w:color w:val="000000"/>
                <w:sz w:val="18"/>
                <w:szCs w:val="18"/>
              </w:rPr>
              <w:t xml:space="preserve">People with </w:t>
            </w:r>
            <w:r w:rsidRPr="00951E81">
              <w:rPr>
                <w:rFonts w:ascii="Calibri" w:hAnsi="Calibri" w:cs="Calibri"/>
                <w:b/>
                <w:bCs/>
                <w:color w:val="000000"/>
                <w:sz w:val="18"/>
                <w:szCs w:val="18"/>
              </w:rPr>
              <w:t>red hair</w:t>
            </w:r>
            <w:r>
              <w:rPr>
                <w:rFonts w:ascii="Calibri" w:hAnsi="Calibri" w:cs="Calibri"/>
                <w:b/>
                <w:bCs/>
                <w:color w:val="000000"/>
                <w:sz w:val="18"/>
                <w:szCs w:val="18"/>
              </w:rPr>
              <w:t xml:space="preserve"> and/</w:t>
            </w:r>
            <w:r w:rsidR="00951E81" w:rsidRPr="00951E81">
              <w:rPr>
                <w:rFonts w:ascii="Calibri" w:hAnsi="Calibri" w:cs="Calibri"/>
                <w:b/>
                <w:bCs/>
                <w:color w:val="000000"/>
                <w:sz w:val="18"/>
                <w:szCs w:val="18"/>
              </w:rPr>
              <w:t xml:space="preserve">or </w:t>
            </w:r>
            <w:r>
              <w:rPr>
                <w:rFonts w:ascii="Calibri" w:hAnsi="Calibri" w:cs="Calibri"/>
                <w:b/>
                <w:bCs/>
                <w:color w:val="000000"/>
                <w:sz w:val="18"/>
                <w:szCs w:val="18"/>
              </w:rPr>
              <w:t xml:space="preserve">many freckles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90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91</w:t>
            </w:r>
          </w:p>
        </w:tc>
      </w:tr>
      <w:tr w:rsidR="00951E81" w:rsidTr="00E929E2">
        <w:trPr>
          <w:trHeight w:val="300"/>
        </w:trPr>
        <w:tc>
          <w:tcPr>
            <w:tcW w:w="1195"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951E81" w:rsidRPr="00951E81" w:rsidRDefault="00951E81" w:rsidP="00977928">
            <w:pPr>
              <w:jc w:val="left"/>
              <w:rPr>
                <w:rFonts w:ascii="Calibri" w:hAnsi="Calibri" w:cs="Calibri"/>
                <w:b/>
                <w:bCs/>
                <w:color w:val="000000"/>
                <w:sz w:val="18"/>
                <w:szCs w:val="18"/>
              </w:rPr>
            </w:pPr>
            <w:r w:rsidRPr="00951E81">
              <w:rPr>
                <w:rFonts w:ascii="Calibri" w:hAnsi="Calibri" w:cs="Calibri"/>
                <w:b/>
                <w:bCs/>
                <w:color w:val="000000"/>
                <w:sz w:val="18"/>
                <w:szCs w:val="18"/>
              </w:rPr>
              <w:t>No-one should use sunbeds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73</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74</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73</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69</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74</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69</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75</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75</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951E81" w:rsidRDefault="00951E81">
            <w:pPr>
              <w:jc w:val="right"/>
              <w:rPr>
                <w:rFonts w:ascii="Calibri" w:hAnsi="Calibri" w:cs="Calibri"/>
                <w:color w:val="000000"/>
                <w:sz w:val="22"/>
                <w:szCs w:val="22"/>
              </w:rPr>
            </w:pPr>
            <w:r>
              <w:rPr>
                <w:rFonts w:ascii="Calibri" w:hAnsi="Calibri" w:cs="Calibri"/>
                <w:color w:val="000000"/>
                <w:sz w:val="22"/>
                <w:szCs w:val="22"/>
              </w:rPr>
              <w:t>76</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65</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74</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78</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87</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951E81" w:rsidRDefault="00951E81">
            <w:pPr>
              <w:jc w:val="right"/>
              <w:rPr>
                <w:rFonts w:ascii="Calibri" w:hAnsi="Calibri" w:cs="Calibri"/>
                <w:color w:val="000000"/>
                <w:sz w:val="22"/>
                <w:szCs w:val="22"/>
              </w:rPr>
            </w:pPr>
            <w:r>
              <w:rPr>
                <w:rFonts w:ascii="Calibri" w:hAnsi="Calibri" w:cs="Calibri"/>
                <w:color w:val="000000"/>
                <w:sz w:val="22"/>
                <w:szCs w:val="22"/>
              </w:rPr>
              <w:t>84</w:t>
            </w:r>
          </w:p>
        </w:tc>
      </w:tr>
    </w:tbl>
    <w:p w:rsidR="008953F3" w:rsidRDefault="008953F3" w:rsidP="008953F3">
      <w:pPr>
        <w:tabs>
          <w:tab w:val="center" w:pos="4075"/>
        </w:tabs>
        <w:autoSpaceDE w:val="0"/>
        <w:autoSpaceDN w:val="0"/>
        <w:adjustRightInd w:val="0"/>
        <w:rPr>
          <w:rFonts w:asciiTheme="minorHAnsi" w:hAnsiTheme="minorHAnsi" w:cstheme="minorHAnsi"/>
          <w:b/>
          <w:sz w:val="22"/>
          <w:szCs w:val="22"/>
        </w:rPr>
      </w:pPr>
    </w:p>
    <w:p w:rsidR="008953F3" w:rsidRDefault="008953F3" w:rsidP="008953F3">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55E2B" w:rsidRDefault="00555E2B" w:rsidP="00597CCA">
      <w:pPr>
        <w:tabs>
          <w:tab w:val="center" w:pos="4075"/>
        </w:tabs>
        <w:autoSpaceDE w:val="0"/>
        <w:autoSpaceDN w:val="0"/>
        <w:adjustRightInd w:val="0"/>
        <w:rPr>
          <w:rFonts w:asciiTheme="minorHAnsi" w:hAnsiTheme="minorHAnsi" w:cstheme="minorHAnsi"/>
          <w:b/>
          <w:sz w:val="22"/>
          <w:szCs w:val="22"/>
        </w:rPr>
      </w:pPr>
    </w:p>
    <w:p w:rsidR="00555E2B" w:rsidRDefault="00555E2B"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520113" w:rsidRDefault="00520113" w:rsidP="00597CCA">
      <w:pPr>
        <w:tabs>
          <w:tab w:val="center" w:pos="4075"/>
        </w:tabs>
        <w:autoSpaceDE w:val="0"/>
        <w:autoSpaceDN w:val="0"/>
        <w:adjustRightInd w:val="0"/>
        <w:rPr>
          <w:rFonts w:asciiTheme="minorHAnsi" w:hAnsiTheme="minorHAnsi" w:cstheme="minorHAnsi"/>
          <w:b/>
          <w:sz w:val="22"/>
          <w:szCs w:val="22"/>
        </w:rPr>
      </w:pPr>
    </w:p>
    <w:p w:rsidR="0067690C" w:rsidRPr="00364AA3" w:rsidRDefault="0067690C" w:rsidP="00364AA3">
      <w:pPr>
        <w:pStyle w:val="Heading3"/>
        <w:spacing w:before="0"/>
        <w:rPr>
          <w:rFonts w:asciiTheme="minorHAnsi" w:hAnsiTheme="minorHAnsi" w:cstheme="minorHAnsi"/>
          <w:color w:val="auto"/>
          <w:sz w:val="22"/>
          <w:szCs w:val="22"/>
        </w:rPr>
      </w:pPr>
      <w:bookmarkStart w:id="85" w:name="_Ref381946808"/>
      <w:r w:rsidRPr="00364AA3">
        <w:rPr>
          <w:rFonts w:asciiTheme="minorHAnsi" w:hAnsiTheme="minorHAnsi" w:cstheme="minorHAnsi"/>
          <w:color w:val="auto"/>
          <w:sz w:val="22"/>
          <w:szCs w:val="22"/>
        </w:rPr>
        <w:t>Selected Individual Sexually Transmitted Infections Awareness</w:t>
      </w:r>
      <w:bookmarkEnd w:id="85"/>
      <w:r w:rsidRPr="00364AA3">
        <w:rPr>
          <w:rFonts w:asciiTheme="minorHAnsi" w:hAnsiTheme="minorHAnsi" w:cstheme="minorHAnsi"/>
          <w:color w:val="auto"/>
          <w:sz w:val="22"/>
          <w:szCs w:val="22"/>
        </w:rPr>
        <w:t xml:space="preserve"> </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Aware of Chlamydia</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76</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76</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71</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81</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67</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Aware of Syphilis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69</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66</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66</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72</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82</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Aware of Gonorrhoea</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76</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80</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 xml:space="preserve">Aware of </w:t>
            </w:r>
            <w:r>
              <w:rPr>
                <w:rFonts w:ascii="Calibri" w:hAnsi="Calibri" w:cs="Calibri"/>
                <w:b/>
                <w:color w:val="000000"/>
              </w:rPr>
              <w:t>Genital</w:t>
            </w:r>
            <w:r w:rsidRPr="0057550C">
              <w:rPr>
                <w:rFonts w:ascii="Calibri" w:hAnsi="Calibri" w:cs="Calibri"/>
                <w:b/>
                <w:color w:val="000000"/>
              </w:rPr>
              <w:t xml:space="preserve"> </w:t>
            </w:r>
            <w:r>
              <w:rPr>
                <w:rFonts w:ascii="Calibri" w:hAnsi="Calibri" w:cs="Calibri"/>
                <w:b/>
                <w:color w:val="000000"/>
              </w:rPr>
              <w:t>Warts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70</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69</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80</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 xml:space="preserve">Aware of </w:t>
            </w:r>
            <w:r>
              <w:rPr>
                <w:rFonts w:ascii="Calibri" w:hAnsi="Calibri" w:cs="Calibri"/>
                <w:b/>
                <w:color w:val="000000"/>
              </w:rPr>
              <w:t>Genital</w:t>
            </w:r>
            <w:r w:rsidRPr="0057550C">
              <w:rPr>
                <w:rFonts w:ascii="Calibri" w:hAnsi="Calibri" w:cs="Calibri"/>
                <w:b/>
                <w:color w:val="000000"/>
              </w:rPr>
              <w:t xml:space="preserve"> </w:t>
            </w:r>
            <w:r>
              <w:rPr>
                <w:rFonts w:ascii="Calibri" w:hAnsi="Calibri" w:cs="Calibri"/>
                <w:b/>
                <w:color w:val="000000"/>
              </w:rPr>
              <w:t>Herpes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75</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84</w:t>
            </w:r>
          </w:p>
        </w:tc>
      </w:tr>
      <w:tr w:rsidR="0067690C" w:rsidRPr="00462493" w:rsidTr="004F1DAE">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57550C" w:rsidRDefault="0067690C" w:rsidP="004F1DAE">
            <w:pPr>
              <w:rPr>
                <w:rFonts w:ascii="Calibri" w:hAnsi="Calibri" w:cs="Calibri"/>
                <w:b/>
                <w:color w:val="000000"/>
              </w:rPr>
            </w:pPr>
            <w:r w:rsidRPr="0057550C">
              <w:rPr>
                <w:rFonts w:ascii="Calibri" w:hAnsi="Calibri" w:cs="Calibri"/>
                <w:b/>
                <w:color w:val="000000"/>
              </w:rPr>
              <w:t>Aware of HIV / AIDS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88</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88</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90</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85</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92</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88</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91</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85</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84</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91</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90</w:t>
            </w:r>
          </w:p>
        </w:tc>
      </w:tr>
    </w:tbl>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Number of Selected Individual Sexually Transmitted Infections Respondent are Aware About </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no STIs</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one STI</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two STIs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three STIs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four STIs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five STIs</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r>
      <w:tr w:rsidR="0067690C" w:rsidRPr="00462493" w:rsidTr="004F1DAE">
        <w:trPr>
          <w:trHeight w:val="30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2C2D20" w:rsidRDefault="0067690C" w:rsidP="004F1DAE">
            <w:pPr>
              <w:rPr>
                <w:rFonts w:ascii="Calibri" w:hAnsi="Calibri" w:cs="Calibri"/>
                <w:b/>
                <w:color w:val="000000"/>
              </w:rPr>
            </w:pPr>
            <w:r w:rsidRPr="002C2D20">
              <w:rPr>
                <w:rFonts w:ascii="Calibri" w:hAnsi="Calibri" w:cs="Calibri"/>
                <w:b/>
                <w:color w:val="000000"/>
              </w:rPr>
              <w:t>Aware of all six STIs</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54</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50</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57</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58</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46</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69</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52</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55</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47</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46</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54</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60</w:t>
            </w:r>
          </w:p>
        </w:tc>
      </w:tr>
    </w:tbl>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555E2B" w:rsidRDefault="00555E2B" w:rsidP="0067690C">
      <w:pPr>
        <w:tabs>
          <w:tab w:val="center" w:pos="4075"/>
        </w:tabs>
        <w:autoSpaceDE w:val="0"/>
        <w:autoSpaceDN w:val="0"/>
        <w:adjustRightInd w:val="0"/>
        <w:rPr>
          <w:rFonts w:asciiTheme="minorHAnsi" w:hAnsiTheme="minorHAnsi" w:cstheme="minorHAnsi"/>
          <w:b/>
          <w:sz w:val="22"/>
          <w:szCs w:val="22"/>
        </w:rPr>
      </w:pPr>
    </w:p>
    <w:p w:rsidR="00555E2B" w:rsidRDefault="00555E2B"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Sexual Health Questions</w:t>
      </w:r>
    </w:p>
    <w:tbl>
      <w:tblPr>
        <w:tblW w:w="13889" w:type="dxa"/>
        <w:tblInd w:w="93" w:type="dxa"/>
        <w:tblLook w:val="04A0" w:firstRow="1" w:lastRow="0" w:firstColumn="1" w:lastColumn="0" w:noHBand="0" w:noVBand="1"/>
      </w:tblPr>
      <w:tblGrid>
        <w:gridCol w:w="9638"/>
        <w:gridCol w:w="1417"/>
        <w:gridCol w:w="1417"/>
        <w:gridCol w:w="1417"/>
      </w:tblGrid>
      <w:tr w:rsidR="0067690C" w:rsidRPr="00BB19E4" w:rsidTr="004F1DAE">
        <w:trPr>
          <w:trHeight w:val="454"/>
        </w:trPr>
        <w:tc>
          <w:tcPr>
            <w:tcW w:w="963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BB19E4" w:rsidRDefault="0067690C" w:rsidP="004F1DAE">
            <w:pPr>
              <w:tabs>
                <w:tab w:val="center" w:pos="4075"/>
              </w:tabs>
              <w:autoSpaceDE w:val="0"/>
              <w:autoSpaceDN w:val="0"/>
              <w:adjustRightInd w:val="0"/>
              <w:rPr>
                <w:rFonts w:asciiTheme="minorHAnsi" w:hAnsiTheme="minorHAnsi" w:cstheme="minorHAnsi"/>
                <w:b/>
                <w:sz w:val="22"/>
                <w:szCs w:val="22"/>
              </w:rPr>
            </w:pPr>
            <w:r w:rsidRPr="00BB19E4">
              <w:rPr>
                <w:rFonts w:asciiTheme="minorHAnsi" w:hAnsiTheme="minorHAnsi" w:cstheme="minorHAnsi"/>
                <w:color w:val="000000"/>
                <w:sz w:val="22"/>
                <w:szCs w:val="22"/>
                <w:lang w:eastAsia="en-GB"/>
              </w:rPr>
              <w:t> </w:t>
            </w:r>
            <w:r w:rsidRPr="001A1C68">
              <w:rPr>
                <w:rFonts w:asciiTheme="minorHAnsi" w:hAnsiTheme="minorHAnsi" w:cstheme="minorHAnsi"/>
                <w:b/>
                <w:sz w:val="22"/>
                <w:szCs w:val="22"/>
              </w:rPr>
              <w:t>Sexual Health Questions</w:t>
            </w:r>
          </w:p>
        </w:tc>
        <w:tc>
          <w:tcPr>
            <w:tcW w:w="1417"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BB19E4" w:rsidRDefault="0067690C" w:rsidP="004F1DAE">
            <w:pPr>
              <w:jc w:val="right"/>
              <w:rPr>
                <w:rFonts w:asciiTheme="minorHAnsi" w:hAnsiTheme="minorHAnsi" w:cstheme="minorHAnsi"/>
                <w:b/>
                <w:bCs/>
                <w:color w:val="000000"/>
                <w:sz w:val="22"/>
                <w:szCs w:val="22"/>
                <w:lang w:eastAsia="en-GB"/>
              </w:rPr>
            </w:pPr>
            <w:r w:rsidRPr="00BB19E4">
              <w:rPr>
                <w:rFonts w:asciiTheme="minorHAnsi" w:hAnsiTheme="minorHAnsi" w:cstheme="minorHAnsi"/>
                <w:b/>
                <w:bCs/>
                <w:color w:val="000000"/>
                <w:sz w:val="22"/>
                <w:szCs w:val="22"/>
                <w:lang w:eastAsia="en-GB"/>
              </w:rPr>
              <w:t>Correct answer</w:t>
            </w:r>
          </w:p>
        </w:tc>
        <w:tc>
          <w:tcPr>
            <w:tcW w:w="1417"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BB19E4" w:rsidRDefault="0067690C" w:rsidP="004F1DAE">
            <w:pPr>
              <w:jc w:val="right"/>
              <w:rPr>
                <w:rFonts w:asciiTheme="minorHAnsi" w:hAnsiTheme="minorHAnsi" w:cstheme="minorHAnsi"/>
                <w:b/>
                <w:bCs/>
                <w:color w:val="000000"/>
                <w:sz w:val="22"/>
                <w:szCs w:val="22"/>
                <w:lang w:eastAsia="en-GB"/>
              </w:rPr>
            </w:pPr>
            <w:r w:rsidRPr="00BB19E4">
              <w:rPr>
                <w:rFonts w:asciiTheme="minorHAnsi" w:hAnsiTheme="minorHAnsi" w:cstheme="minorHAnsi"/>
                <w:b/>
                <w:bCs/>
                <w:color w:val="000000"/>
                <w:sz w:val="22"/>
                <w:szCs w:val="22"/>
                <w:lang w:eastAsia="en-GB"/>
              </w:rPr>
              <w:t>Incorrect answer</w:t>
            </w:r>
          </w:p>
        </w:tc>
        <w:tc>
          <w:tcPr>
            <w:tcW w:w="141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BB19E4" w:rsidRDefault="0067690C" w:rsidP="004F1DAE">
            <w:pPr>
              <w:jc w:val="right"/>
              <w:rPr>
                <w:rFonts w:asciiTheme="minorHAnsi" w:hAnsiTheme="minorHAnsi" w:cstheme="minorHAnsi"/>
                <w:b/>
                <w:bCs/>
                <w:color w:val="000000"/>
                <w:sz w:val="22"/>
                <w:szCs w:val="22"/>
                <w:lang w:eastAsia="en-GB"/>
              </w:rPr>
            </w:pPr>
            <w:r w:rsidRPr="00BB19E4">
              <w:rPr>
                <w:rFonts w:asciiTheme="minorHAnsi" w:hAnsiTheme="minorHAnsi" w:cstheme="minorHAnsi"/>
                <w:b/>
                <w:bCs/>
                <w:color w:val="000000"/>
                <w:sz w:val="22"/>
                <w:szCs w:val="22"/>
                <w:lang w:eastAsia="en-GB"/>
              </w:rPr>
              <w:t>Question not attempted</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b/>
                <w:color w:val="000000"/>
                <w:sz w:val="22"/>
                <w:szCs w:val="22"/>
                <w:lang w:eastAsia="en-GB"/>
              </w:rPr>
              <w:t>Chlamydia</w:t>
            </w:r>
            <w:r w:rsidRPr="001A1C68">
              <w:rPr>
                <w:rFonts w:asciiTheme="minorHAnsi" w:hAnsiTheme="minorHAnsi" w:cstheme="minorHAnsi"/>
                <w:b/>
                <w:color w:val="000000"/>
                <w:sz w:val="22"/>
                <w:szCs w:val="22"/>
                <w:lang w:eastAsia="en-GB"/>
              </w:rPr>
              <w:t xml:space="preserve"> </w:t>
            </w:r>
            <w:r>
              <w:rPr>
                <w:rFonts w:asciiTheme="minorHAnsi" w:hAnsiTheme="minorHAnsi" w:cstheme="minorHAnsi"/>
                <w:b/>
                <w:color w:val="000000"/>
                <w:sz w:val="22"/>
                <w:szCs w:val="22"/>
                <w:lang w:eastAsia="en-GB"/>
              </w:rPr>
              <w:t>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441ACD" w:rsidRDefault="0067690C" w:rsidP="004F1DAE">
            <w:pPr>
              <w:rPr>
                <w:rFonts w:asciiTheme="minorHAnsi" w:hAnsiTheme="minorHAnsi" w:cstheme="minorHAnsi"/>
                <w:color w:val="000000"/>
                <w:sz w:val="22"/>
                <w:szCs w:val="22"/>
                <w:lang w:eastAsia="en-GB"/>
              </w:rPr>
            </w:pPr>
            <w:r w:rsidRPr="00441ACD">
              <w:rPr>
                <w:rFonts w:asciiTheme="minorHAnsi" w:hAnsiTheme="minorHAnsi" w:cstheme="minorHAnsi"/>
                <w:color w:val="000000"/>
                <w:sz w:val="22"/>
                <w:szCs w:val="22"/>
                <w:lang w:eastAsia="en-GB"/>
              </w:rPr>
              <w:t>Chlamydia does not always show symptoms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68</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6</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26</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441ACD" w:rsidRDefault="0067690C" w:rsidP="004F1DAE">
            <w:pPr>
              <w:rPr>
                <w:rFonts w:asciiTheme="minorHAnsi" w:hAnsiTheme="minorHAnsi" w:cstheme="minorHAnsi"/>
                <w:color w:val="000000"/>
                <w:sz w:val="22"/>
                <w:szCs w:val="22"/>
                <w:lang w:eastAsia="en-GB"/>
              </w:rPr>
            </w:pPr>
            <w:r w:rsidRPr="00441ACD">
              <w:rPr>
                <w:rFonts w:asciiTheme="minorHAnsi" w:hAnsiTheme="minorHAnsi" w:cstheme="minorHAnsi"/>
                <w:color w:val="000000"/>
                <w:sz w:val="22"/>
                <w:szCs w:val="22"/>
                <w:lang w:eastAsia="en-GB"/>
              </w:rPr>
              <w:t>Chlamydia is easily treated with antibiotics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52</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10</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37</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441ACD" w:rsidRDefault="0067690C" w:rsidP="004F1DAE">
            <w:pPr>
              <w:rPr>
                <w:rFonts w:asciiTheme="minorHAnsi" w:hAnsiTheme="minorHAnsi" w:cstheme="minorHAnsi"/>
                <w:color w:val="000000"/>
                <w:sz w:val="22"/>
                <w:szCs w:val="22"/>
                <w:lang w:eastAsia="en-GB"/>
              </w:rPr>
            </w:pPr>
            <w:r w:rsidRPr="00441ACD">
              <w:rPr>
                <w:rFonts w:asciiTheme="minorHAnsi" w:hAnsiTheme="minorHAnsi" w:cstheme="minorHAnsi"/>
                <w:color w:val="000000"/>
                <w:sz w:val="22"/>
                <w:szCs w:val="22"/>
                <w:lang w:eastAsia="en-GB"/>
              </w:rPr>
              <w:t>Chlamydia can cause infertility if untreated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76</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2</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23</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441ACD" w:rsidRDefault="0067690C" w:rsidP="004F1DAE">
            <w:pPr>
              <w:rPr>
                <w:rFonts w:asciiTheme="minorHAnsi" w:hAnsiTheme="minorHAnsi" w:cstheme="minorHAnsi"/>
                <w:color w:val="000000"/>
                <w:sz w:val="22"/>
                <w:szCs w:val="22"/>
                <w:lang w:eastAsia="en-GB"/>
              </w:rPr>
            </w:pPr>
            <w:r w:rsidRPr="00441ACD">
              <w:rPr>
                <w:rFonts w:asciiTheme="minorHAnsi" w:hAnsiTheme="minorHAnsi" w:cstheme="minorHAnsi"/>
                <w:color w:val="000000"/>
                <w:sz w:val="22"/>
                <w:szCs w:val="22"/>
                <w:lang w:eastAsia="en-GB"/>
              </w:rPr>
              <w:t>Chlamydia affects only women (False)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62</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9</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Pr="00441ACD" w:rsidRDefault="0067690C" w:rsidP="004F1DAE">
            <w:pPr>
              <w:jc w:val="right"/>
              <w:rPr>
                <w:rFonts w:ascii="Calibri" w:hAnsi="Calibri" w:cs="Calibri"/>
                <w:color w:val="000000"/>
                <w:sz w:val="22"/>
                <w:szCs w:val="22"/>
              </w:rPr>
            </w:pPr>
            <w:r w:rsidRPr="00441ACD">
              <w:rPr>
                <w:rFonts w:ascii="Calibri" w:hAnsi="Calibri" w:cs="Calibri"/>
                <w:color w:val="000000"/>
                <w:sz w:val="22"/>
                <w:szCs w:val="22"/>
              </w:rPr>
              <w:t>29</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b/>
                <w:color w:val="000000"/>
                <w:sz w:val="22"/>
                <w:szCs w:val="22"/>
                <w:lang w:eastAsia="en-GB"/>
              </w:rPr>
              <w:t>Gonorrhoea</w:t>
            </w:r>
            <w:r>
              <w:rPr>
                <w:rFonts w:asciiTheme="minorHAnsi" w:hAnsiTheme="minorHAnsi" w:cstheme="minorHAnsi"/>
                <w:b/>
                <w:color w:val="000000"/>
                <w:sz w:val="22"/>
                <w:szCs w:val="22"/>
                <w:lang w:eastAsia="en-GB"/>
              </w:rPr>
              <w:t xml:space="preserve"> 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Gonorrhoea affects both men and women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77</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Gonorrhoea can be cured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52</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39</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Gonorrhoea can occur in the mouth, throat, eyes, and anus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41</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54</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Some women who are infected have no symptoms (True)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40</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b/>
                <w:color w:val="000000"/>
                <w:sz w:val="22"/>
                <w:szCs w:val="22"/>
                <w:lang w:eastAsia="en-GB"/>
              </w:rPr>
              <w:t>Syphilis</w:t>
            </w:r>
            <w:r>
              <w:rPr>
                <w:rFonts w:asciiTheme="minorHAnsi" w:hAnsiTheme="minorHAnsi" w:cstheme="minorHAnsi"/>
                <w:b/>
                <w:color w:val="000000"/>
                <w:sz w:val="22"/>
                <w:szCs w:val="22"/>
                <w:lang w:eastAsia="en-GB"/>
              </w:rPr>
              <w:t xml:space="preserve"> 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It may not be obvious that a sexual partner has syphilis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41</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All pregnant women are tested for syphilis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12</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61</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Syphilis no longer exists (False)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71</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26</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Syphilis is very difficult to cure (False)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11</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31</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58</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Pr>
                <w:rFonts w:asciiTheme="minorHAnsi" w:hAnsiTheme="minorHAnsi" w:cstheme="minorHAnsi"/>
                <w:b/>
                <w:color w:val="000000"/>
                <w:sz w:val="22"/>
                <w:szCs w:val="22"/>
                <w:lang w:eastAsia="en-GB"/>
              </w:rPr>
              <w:t>Genital</w:t>
            </w:r>
            <w:r w:rsidRPr="00BB19E4">
              <w:rPr>
                <w:rFonts w:asciiTheme="minorHAnsi" w:hAnsiTheme="minorHAnsi" w:cstheme="minorHAnsi"/>
                <w:b/>
                <w:color w:val="000000"/>
                <w:sz w:val="22"/>
                <w:szCs w:val="22"/>
                <w:lang w:eastAsia="en-GB"/>
              </w:rPr>
              <w:t xml:space="preserve"> </w:t>
            </w:r>
            <w:r>
              <w:rPr>
                <w:rFonts w:asciiTheme="minorHAnsi" w:hAnsiTheme="minorHAnsi" w:cstheme="minorHAnsi"/>
                <w:b/>
                <w:color w:val="000000"/>
                <w:sz w:val="22"/>
                <w:szCs w:val="22"/>
                <w:lang w:eastAsia="en-GB"/>
              </w:rPr>
              <w:t>Herpes 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Herpes</w:t>
            </w:r>
            <w:r w:rsidRPr="00BB19E4">
              <w:rPr>
                <w:rFonts w:asciiTheme="minorHAnsi" w:hAnsiTheme="minorHAnsi" w:cstheme="minorHAnsi"/>
                <w:color w:val="000000"/>
                <w:sz w:val="22"/>
                <w:szCs w:val="22"/>
                <w:lang w:eastAsia="en-GB"/>
              </w:rPr>
              <w:t xml:space="preserve"> can cause recurrent painful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blisters and sores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78</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Herpes</w:t>
            </w:r>
            <w:r w:rsidRPr="00BB19E4">
              <w:rPr>
                <w:rFonts w:asciiTheme="minorHAnsi" w:hAnsiTheme="minorHAnsi" w:cstheme="minorHAnsi"/>
                <w:color w:val="000000"/>
                <w:sz w:val="22"/>
                <w:szCs w:val="22"/>
                <w:lang w:eastAsia="en-GB"/>
              </w:rPr>
              <w:t xml:space="preserve"> can be transmitted by oral sex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67</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 xml:space="preserve">You can pass on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Herpes</w:t>
            </w:r>
            <w:r w:rsidRPr="00BB19E4">
              <w:rPr>
                <w:rFonts w:asciiTheme="minorHAnsi" w:hAnsiTheme="minorHAnsi" w:cstheme="minorHAnsi"/>
                <w:color w:val="000000"/>
                <w:sz w:val="22"/>
                <w:szCs w:val="22"/>
                <w:lang w:eastAsia="en-GB"/>
              </w:rPr>
              <w:t xml:space="preserve"> even when there are no blisters or sores in the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region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60</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37</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 xml:space="preserve">There is no treatment that can cure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Herpes</w:t>
            </w:r>
            <w:r w:rsidRPr="00BB19E4">
              <w:rPr>
                <w:rFonts w:asciiTheme="minorHAnsi" w:hAnsiTheme="minorHAnsi" w:cstheme="minorHAnsi"/>
                <w:color w:val="000000"/>
                <w:sz w:val="22"/>
                <w:szCs w:val="22"/>
                <w:lang w:eastAsia="en-GB"/>
              </w:rPr>
              <w:t xml:space="preserve"> (True)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34</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Pr>
                <w:rFonts w:asciiTheme="minorHAnsi" w:hAnsiTheme="minorHAnsi" w:cstheme="minorHAnsi"/>
                <w:b/>
                <w:color w:val="000000"/>
                <w:sz w:val="22"/>
                <w:szCs w:val="22"/>
                <w:lang w:eastAsia="en-GB"/>
              </w:rPr>
              <w:t>Genital</w:t>
            </w:r>
            <w:r w:rsidRPr="00BB19E4">
              <w:rPr>
                <w:rFonts w:asciiTheme="minorHAnsi" w:hAnsiTheme="minorHAnsi" w:cstheme="minorHAnsi"/>
                <w:b/>
                <w:color w:val="000000"/>
                <w:sz w:val="22"/>
                <w:szCs w:val="22"/>
                <w:lang w:eastAsia="en-GB"/>
              </w:rPr>
              <w:t xml:space="preserve"> </w:t>
            </w:r>
            <w:r>
              <w:rPr>
                <w:rFonts w:asciiTheme="minorHAnsi" w:hAnsiTheme="minorHAnsi" w:cstheme="minorHAnsi"/>
                <w:b/>
                <w:color w:val="000000"/>
                <w:sz w:val="22"/>
                <w:szCs w:val="22"/>
                <w:lang w:eastAsia="en-GB"/>
              </w:rPr>
              <w:t>Warts 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Warts</w:t>
            </w:r>
            <w:r w:rsidRPr="00BB19E4">
              <w:rPr>
                <w:rFonts w:asciiTheme="minorHAnsi" w:hAnsiTheme="minorHAnsi" w:cstheme="minorHAnsi"/>
                <w:color w:val="000000"/>
                <w:sz w:val="22"/>
                <w:szCs w:val="22"/>
                <w:lang w:eastAsia="en-GB"/>
              </w:rPr>
              <w:t xml:space="preserve"> are the most common STI in Northern Ireland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72</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 xml:space="preserve">Most people infected with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Warts</w:t>
            </w:r>
            <w:r w:rsidRPr="00BB19E4">
              <w:rPr>
                <w:rFonts w:asciiTheme="minorHAnsi" w:hAnsiTheme="minorHAnsi" w:cstheme="minorHAnsi"/>
                <w:color w:val="000000"/>
                <w:sz w:val="22"/>
                <w:szCs w:val="22"/>
                <w:lang w:eastAsia="en-GB"/>
              </w:rPr>
              <w:t xml:space="preserve"> will not show any signs of infection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57</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 xml:space="preserve">Certain strains of the virus that causes </w:t>
            </w:r>
            <w:r>
              <w:rPr>
                <w:rFonts w:asciiTheme="minorHAnsi" w:hAnsiTheme="minorHAnsi" w:cstheme="minorHAnsi"/>
                <w:color w:val="000000"/>
                <w:sz w:val="22"/>
                <w:szCs w:val="22"/>
                <w:lang w:eastAsia="en-GB"/>
              </w:rPr>
              <w:t>Genital</w:t>
            </w:r>
            <w:r w:rsidRPr="00BB19E4">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Warts</w:t>
            </w:r>
            <w:r w:rsidRPr="00BB19E4">
              <w:rPr>
                <w:rFonts w:asciiTheme="minorHAnsi" w:hAnsiTheme="minorHAnsi" w:cstheme="minorHAnsi"/>
                <w:color w:val="000000"/>
                <w:sz w:val="22"/>
                <w:szCs w:val="22"/>
                <w:lang w:eastAsia="en-GB"/>
              </w:rPr>
              <w:t xml:space="preserve"> can also lead to cervical cancer (True)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31</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66</w:t>
            </w:r>
          </w:p>
        </w:tc>
      </w:tr>
      <w:tr w:rsidR="0067690C" w:rsidRPr="00BB19E4" w:rsidTr="004F1DAE">
        <w:trPr>
          <w:trHeight w:val="300"/>
        </w:trPr>
        <w:tc>
          <w:tcPr>
            <w:tcW w:w="13889" w:type="dxa"/>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bottom"/>
            <w:hideMark/>
          </w:tcPr>
          <w:p w:rsidR="0067690C" w:rsidRPr="001A1C68" w:rsidRDefault="0067690C" w:rsidP="004F1DAE">
            <w:pPr>
              <w:rPr>
                <w:rFonts w:asciiTheme="minorHAnsi" w:hAnsiTheme="minorHAnsi" w:cstheme="minorHAnsi"/>
                <w:color w:val="000000"/>
                <w:sz w:val="22"/>
                <w:szCs w:val="22"/>
                <w:lang w:eastAsia="en-GB"/>
              </w:rPr>
            </w:pPr>
            <w:r w:rsidRPr="001A1C68">
              <w:rPr>
                <w:rFonts w:asciiTheme="minorHAnsi" w:hAnsiTheme="minorHAnsi" w:cstheme="minorHAnsi"/>
                <w:b/>
                <w:color w:val="000000"/>
                <w:sz w:val="22"/>
                <w:szCs w:val="22"/>
                <w:lang w:eastAsia="en-GB"/>
              </w:rPr>
              <w:t>HIV / AIDS</w:t>
            </w:r>
            <w:r>
              <w:rPr>
                <w:rFonts w:asciiTheme="minorHAnsi" w:hAnsiTheme="minorHAnsi" w:cstheme="minorHAnsi"/>
                <w:b/>
                <w:color w:val="000000"/>
                <w:sz w:val="22"/>
                <w:szCs w:val="22"/>
                <w:lang w:eastAsia="en-GB"/>
              </w:rPr>
              <w:t xml:space="preserve"> Section</w:t>
            </w:r>
          </w:p>
        </w:tc>
      </w:tr>
      <w:tr w:rsidR="0067690C" w:rsidRPr="00BB19E4" w:rsidTr="00441ACD">
        <w:trPr>
          <w:trHeight w:val="227"/>
        </w:trPr>
        <w:tc>
          <w:tcPr>
            <w:tcW w:w="963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A person can be infected with HIV for years without developing AIDS (True)</w:t>
            </w:r>
          </w:p>
        </w:tc>
        <w:tc>
          <w:tcPr>
            <w:tcW w:w="1417"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78</w:t>
            </w:r>
          </w:p>
        </w:tc>
        <w:tc>
          <w:tcPr>
            <w:tcW w:w="1417"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1417"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Withdrawing before a man climaxes or ejaculates prevents the spread of HIV during sex (False)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71</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r>
      <w:tr w:rsidR="0067690C" w:rsidRPr="00BB19E4" w:rsidTr="00441ACD">
        <w:trPr>
          <w:trHeight w:val="227"/>
        </w:trPr>
        <w:tc>
          <w:tcPr>
            <w:tcW w:w="9638" w:type="dxa"/>
            <w:tcBorders>
              <w:top w:val="nil"/>
              <w:left w:val="single" w:sz="12" w:space="0" w:color="auto"/>
              <w:bottom w:val="single" w:sz="4"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Theme="minorHAnsi" w:hAnsiTheme="minorHAnsi" w:cstheme="minorHAnsi"/>
                <w:color w:val="000000"/>
                <w:sz w:val="22"/>
                <w:szCs w:val="22"/>
                <w:lang w:eastAsia="en-GB"/>
              </w:rPr>
            </w:pPr>
            <w:r w:rsidRPr="00BB19E4">
              <w:rPr>
                <w:rFonts w:asciiTheme="minorHAnsi" w:hAnsiTheme="minorHAnsi" w:cstheme="minorHAnsi"/>
                <w:color w:val="000000"/>
                <w:sz w:val="22"/>
                <w:szCs w:val="22"/>
                <w:lang w:eastAsia="en-GB"/>
              </w:rPr>
              <w:t xml:space="preserve">People who have another sexually transmitted infection such as Chlamydia, </w:t>
            </w:r>
            <w:r>
              <w:rPr>
                <w:rFonts w:asciiTheme="minorHAnsi" w:hAnsiTheme="minorHAnsi" w:cstheme="minorHAnsi"/>
                <w:color w:val="000000"/>
                <w:sz w:val="22"/>
                <w:szCs w:val="22"/>
                <w:lang w:eastAsia="en-GB"/>
              </w:rPr>
              <w:t>Herpes</w:t>
            </w:r>
            <w:r w:rsidRPr="00BB19E4">
              <w:rPr>
                <w:rFonts w:asciiTheme="minorHAnsi" w:hAnsiTheme="minorHAnsi" w:cstheme="minorHAnsi"/>
                <w:color w:val="000000"/>
                <w:sz w:val="22"/>
                <w:szCs w:val="22"/>
                <w:lang w:eastAsia="en-GB"/>
              </w:rPr>
              <w:t xml:space="preserve"> or gonorrhoea have a higher risk of contracting HIV (True)</w:t>
            </w:r>
          </w:p>
        </w:tc>
        <w:tc>
          <w:tcPr>
            <w:tcW w:w="141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c>
          <w:tcPr>
            <w:tcW w:w="1417"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56</w:t>
            </w:r>
          </w:p>
        </w:tc>
      </w:tr>
      <w:tr w:rsidR="0067690C" w:rsidRPr="00BB19E4" w:rsidTr="00441ACD">
        <w:trPr>
          <w:trHeight w:val="227"/>
        </w:trPr>
        <w:tc>
          <w:tcPr>
            <w:tcW w:w="9638" w:type="dxa"/>
            <w:tcBorders>
              <w:top w:val="nil"/>
              <w:left w:val="single" w:sz="12" w:space="0" w:color="auto"/>
              <w:bottom w:val="single" w:sz="12" w:space="0" w:color="auto"/>
              <w:right w:val="single" w:sz="12" w:space="0" w:color="auto"/>
            </w:tcBorders>
            <w:shd w:val="clear" w:color="auto" w:fill="D9D9D9" w:themeFill="background1" w:themeFillShade="D9"/>
            <w:noWrap/>
            <w:vAlign w:val="bottom"/>
            <w:hideMark/>
          </w:tcPr>
          <w:p w:rsidR="0067690C" w:rsidRPr="00BB19E4" w:rsidRDefault="0067690C" w:rsidP="004F1DAE">
            <w:pPr>
              <w:rPr>
                <w:rFonts w:ascii="Calibri" w:hAnsi="Calibri" w:cs="Calibri"/>
                <w:color w:val="000000"/>
                <w:sz w:val="22"/>
                <w:szCs w:val="22"/>
                <w:lang w:eastAsia="en-GB"/>
              </w:rPr>
            </w:pPr>
            <w:r w:rsidRPr="00BB19E4">
              <w:rPr>
                <w:rFonts w:ascii="Calibri" w:hAnsi="Calibri" w:cs="Calibri"/>
                <w:color w:val="000000"/>
                <w:sz w:val="22"/>
                <w:szCs w:val="22"/>
                <w:lang w:eastAsia="en-GB"/>
              </w:rPr>
              <w:t>Northern Ireland has the highest rate of increase in HIV infection in the UK (True)</w:t>
            </w:r>
          </w:p>
        </w:tc>
        <w:tc>
          <w:tcPr>
            <w:tcW w:w="1417"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10</w:t>
            </w:r>
          </w:p>
        </w:tc>
        <w:tc>
          <w:tcPr>
            <w:tcW w:w="1417"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1417"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76</w:t>
            </w:r>
          </w:p>
        </w:tc>
      </w:tr>
    </w:tbl>
    <w:p w:rsidR="00555E2B" w:rsidRDefault="00555E2B" w:rsidP="0067690C">
      <w:pPr>
        <w:tabs>
          <w:tab w:val="center" w:pos="4075"/>
        </w:tabs>
        <w:autoSpaceDE w:val="0"/>
        <w:autoSpaceDN w:val="0"/>
        <w:adjustRightInd w:val="0"/>
        <w:rPr>
          <w:rFonts w:asciiTheme="minorHAnsi" w:hAnsiTheme="minorHAnsi" w:cstheme="minorHAnsi"/>
          <w:b/>
          <w:sz w:val="22"/>
          <w:szCs w:val="22"/>
        </w:rPr>
      </w:pPr>
    </w:p>
    <w:p w:rsidR="0067690C" w:rsidRPr="00462493" w:rsidRDefault="0067690C" w:rsidP="0067690C">
      <w:pPr>
        <w:tabs>
          <w:tab w:val="center" w:pos="4075"/>
        </w:tabs>
        <w:autoSpaceDE w:val="0"/>
        <w:autoSpaceDN w:val="0"/>
        <w:adjustRightInd w:val="0"/>
        <w:rPr>
          <w:rFonts w:asciiTheme="minorHAnsi" w:hAnsiTheme="minorHAnsi" w:cstheme="minorHAnsi"/>
          <w:b/>
          <w:sz w:val="22"/>
          <w:szCs w:val="22"/>
        </w:rPr>
      </w:pPr>
      <w:r w:rsidRPr="00462493">
        <w:rPr>
          <w:rFonts w:asciiTheme="minorHAnsi" w:hAnsiTheme="minorHAnsi" w:cstheme="minorHAnsi"/>
          <w:b/>
          <w:sz w:val="22"/>
          <w:szCs w:val="22"/>
        </w:rPr>
        <w:t>Scores from Chlamydia section</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462493"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r>
              <w:rPr>
                <w:rFonts w:ascii="Calibri" w:hAnsi="Calibri" w:cs="Calibri"/>
                <w:b/>
                <w:bCs/>
                <w:color w:val="000000"/>
                <w:lang w:eastAsia="en-GB"/>
              </w:rPr>
              <w:t>Chlamydia 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41ACD">
        <w:trPr>
          <w:trHeight w:val="283"/>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Four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31</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28</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r>
      <w:tr w:rsidR="0067690C" w:rsidRPr="00462493" w:rsidTr="00441ACD">
        <w:trPr>
          <w:trHeight w:val="283"/>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Chlamydia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sidRPr="00462493">
        <w:rPr>
          <w:rFonts w:asciiTheme="minorHAnsi" w:hAnsiTheme="minorHAnsi" w:cstheme="minorHAnsi"/>
          <w:b/>
          <w:sz w:val="22"/>
          <w:szCs w:val="22"/>
        </w:rPr>
        <w:t>Scores from Gonorrhoea section</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r>
              <w:rPr>
                <w:rFonts w:ascii="Calibri" w:hAnsi="Calibri" w:cs="Calibri"/>
                <w:b/>
                <w:bCs/>
                <w:color w:val="000000"/>
                <w:lang w:eastAsia="en-GB"/>
              </w:rPr>
              <w:t>Gonorrhoea 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41ACD">
        <w:trPr>
          <w:trHeight w:val="283"/>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Four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r>
      <w:tr w:rsidR="0067690C" w:rsidRPr="00462493" w:rsidTr="00441ACD">
        <w:trPr>
          <w:trHeight w:val="283"/>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Gonorrhoea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sidRPr="00462493">
        <w:rPr>
          <w:rFonts w:asciiTheme="minorHAnsi" w:hAnsiTheme="minorHAnsi" w:cstheme="minorHAnsi"/>
          <w:b/>
          <w:sz w:val="22"/>
          <w:szCs w:val="22"/>
        </w:rPr>
        <w:t>Scores from Syphilis section</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r>
              <w:rPr>
                <w:rFonts w:ascii="Calibri" w:hAnsi="Calibri" w:cs="Calibri"/>
                <w:b/>
                <w:bCs/>
                <w:color w:val="000000"/>
                <w:lang w:eastAsia="en-GB"/>
              </w:rPr>
              <w:t>Syphilis 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41ACD">
        <w:trPr>
          <w:trHeight w:val="283"/>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35</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r>
      <w:tr w:rsidR="0067690C" w:rsidRPr="00462493" w:rsidTr="00441ACD">
        <w:trPr>
          <w:trHeight w:val="283"/>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Four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r>
      <w:tr w:rsidR="0067690C" w:rsidRPr="00462493" w:rsidTr="00441ACD">
        <w:trPr>
          <w:trHeight w:val="283"/>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Syphilis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r>
    </w:tbl>
    <w:p w:rsidR="00555E2B" w:rsidRDefault="00555E2B"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r w:rsidRPr="00462493">
        <w:rPr>
          <w:rFonts w:asciiTheme="minorHAnsi" w:hAnsiTheme="minorHAnsi" w:cstheme="minorHAnsi"/>
          <w:b/>
          <w:sz w:val="22"/>
          <w:szCs w:val="22"/>
        </w:rPr>
        <w:t xml:space="preserve">Scores from </w:t>
      </w:r>
      <w:r>
        <w:rPr>
          <w:rFonts w:asciiTheme="minorHAnsi" w:hAnsiTheme="minorHAnsi" w:cstheme="minorHAnsi"/>
          <w:b/>
          <w:sz w:val="22"/>
          <w:szCs w:val="22"/>
        </w:rPr>
        <w:t>Genital</w:t>
      </w:r>
      <w:r w:rsidRPr="00462493">
        <w:rPr>
          <w:rFonts w:asciiTheme="minorHAnsi" w:hAnsiTheme="minorHAnsi" w:cstheme="minorHAnsi"/>
          <w:b/>
          <w:sz w:val="22"/>
          <w:szCs w:val="22"/>
        </w:rPr>
        <w:t xml:space="preserve"> </w:t>
      </w:r>
      <w:r>
        <w:rPr>
          <w:rFonts w:asciiTheme="minorHAnsi" w:hAnsiTheme="minorHAnsi" w:cstheme="minorHAnsi"/>
          <w:b/>
          <w:sz w:val="22"/>
          <w:szCs w:val="22"/>
        </w:rPr>
        <w:t>Herpes</w:t>
      </w:r>
      <w:r w:rsidRPr="00462493">
        <w:rPr>
          <w:rFonts w:asciiTheme="minorHAnsi" w:hAnsiTheme="minorHAnsi" w:cstheme="minorHAnsi"/>
          <w:b/>
          <w:sz w:val="22"/>
          <w:szCs w:val="22"/>
        </w:rPr>
        <w:t xml:space="preserve"> section</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BB19E4" w:rsidRDefault="0067690C" w:rsidP="004F1DAE">
            <w:pPr>
              <w:rPr>
                <w:rFonts w:ascii="Calibri" w:hAnsi="Calibri" w:cs="Calibri"/>
                <w:b/>
                <w:bCs/>
                <w:color w:val="000000"/>
                <w:lang w:eastAsia="en-GB"/>
              </w:rPr>
            </w:pPr>
            <w:r>
              <w:rPr>
                <w:rFonts w:asciiTheme="minorHAnsi" w:hAnsiTheme="minorHAnsi" w:cstheme="minorHAnsi"/>
                <w:b/>
              </w:rPr>
              <w:t>Genital</w:t>
            </w:r>
            <w:r w:rsidRPr="00BB19E4">
              <w:rPr>
                <w:rFonts w:asciiTheme="minorHAnsi" w:hAnsiTheme="minorHAnsi" w:cstheme="minorHAnsi"/>
                <w:b/>
              </w:rPr>
              <w:t xml:space="preserve"> </w:t>
            </w:r>
            <w:r>
              <w:rPr>
                <w:rFonts w:asciiTheme="minorHAnsi" w:hAnsiTheme="minorHAnsi" w:cstheme="minorHAnsi"/>
                <w:b/>
              </w:rPr>
              <w:t>Herpes</w:t>
            </w:r>
            <w:r w:rsidRPr="00BB19E4">
              <w:rPr>
                <w:rFonts w:asciiTheme="minorHAnsi" w:hAnsiTheme="minorHAnsi" w:cstheme="minorHAnsi"/>
                <w:b/>
              </w:rPr>
              <w:t xml:space="preserve"> </w:t>
            </w:r>
            <w:r w:rsidRPr="00BB19E4">
              <w:rPr>
                <w:rFonts w:ascii="Calibri" w:hAnsi="Calibri" w:cs="Calibri"/>
                <w:b/>
                <w:bCs/>
                <w:color w:val="000000"/>
                <w:lang w:eastAsia="en-GB"/>
              </w:rPr>
              <w:t>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40</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41</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41</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49</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40</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42</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44</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Four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r>
      <w:tr w:rsidR="0067690C" w:rsidRPr="00462493" w:rsidTr="004F1DAE">
        <w:trPr>
          <w:trHeight w:val="54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BB19E4" w:rsidRDefault="0067690C" w:rsidP="0024600E">
            <w:pPr>
              <w:jc w:val="left"/>
              <w:rPr>
                <w:rFonts w:ascii="Calibri" w:hAnsi="Calibri" w:cs="Calibri"/>
                <w:b/>
                <w:color w:val="000000"/>
                <w:lang w:eastAsia="en-GB"/>
              </w:rPr>
            </w:pPr>
            <w:r>
              <w:rPr>
                <w:rFonts w:ascii="Calibri" w:hAnsi="Calibri" w:cs="Calibri"/>
                <w:b/>
                <w:color w:val="000000"/>
                <w:lang w:eastAsia="en-GB"/>
              </w:rPr>
              <w:t>Genital</w:t>
            </w:r>
            <w:r w:rsidRPr="00BB19E4">
              <w:rPr>
                <w:rFonts w:ascii="Calibri" w:hAnsi="Calibri" w:cs="Calibri"/>
                <w:b/>
                <w:color w:val="000000"/>
                <w:lang w:eastAsia="en-GB"/>
              </w:rPr>
              <w:t xml:space="preserve"> </w:t>
            </w:r>
            <w:r>
              <w:rPr>
                <w:rFonts w:ascii="Calibri" w:hAnsi="Calibri" w:cs="Calibri"/>
                <w:b/>
                <w:color w:val="000000"/>
                <w:lang w:eastAsia="en-GB"/>
              </w:rPr>
              <w:t>Herpes</w:t>
            </w:r>
            <w:r w:rsidRPr="00BB19E4">
              <w:rPr>
                <w:rFonts w:ascii="Calibri" w:hAnsi="Calibri" w:cs="Calibri"/>
                <w:b/>
                <w:color w:val="000000"/>
                <w:lang w:eastAsia="en-GB"/>
              </w:rPr>
              <w:t xml:space="preserve">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sidRPr="00462493">
        <w:rPr>
          <w:rFonts w:asciiTheme="minorHAnsi" w:hAnsiTheme="minorHAnsi" w:cstheme="minorHAnsi"/>
          <w:b/>
          <w:sz w:val="22"/>
          <w:szCs w:val="22"/>
        </w:rPr>
        <w:t xml:space="preserve">Scores from </w:t>
      </w:r>
      <w:r>
        <w:rPr>
          <w:rFonts w:asciiTheme="minorHAnsi" w:hAnsiTheme="minorHAnsi" w:cstheme="minorHAnsi"/>
          <w:b/>
          <w:sz w:val="22"/>
          <w:szCs w:val="22"/>
        </w:rPr>
        <w:t>Genital</w:t>
      </w:r>
      <w:r w:rsidRPr="00462493">
        <w:rPr>
          <w:rFonts w:asciiTheme="minorHAnsi" w:hAnsiTheme="minorHAnsi" w:cstheme="minorHAnsi"/>
          <w:b/>
          <w:sz w:val="22"/>
          <w:szCs w:val="22"/>
        </w:rPr>
        <w:t xml:space="preserve"> </w:t>
      </w:r>
      <w:r>
        <w:rPr>
          <w:rFonts w:asciiTheme="minorHAnsi" w:hAnsiTheme="minorHAnsi" w:cstheme="minorHAnsi"/>
          <w:b/>
          <w:sz w:val="22"/>
          <w:szCs w:val="22"/>
        </w:rPr>
        <w:t>Warts</w:t>
      </w:r>
      <w:r w:rsidRPr="00462493">
        <w:rPr>
          <w:rFonts w:asciiTheme="minorHAnsi" w:hAnsiTheme="minorHAnsi" w:cstheme="minorHAnsi"/>
          <w:b/>
          <w:sz w:val="22"/>
          <w:szCs w:val="22"/>
        </w:rPr>
        <w:t xml:space="preserve"> section</w:t>
      </w:r>
    </w:p>
    <w:tbl>
      <w:tblPr>
        <w:tblW w:w="13877" w:type="dxa"/>
        <w:tblInd w:w="93" w:type="dxa"/>
        <w:tblLook w:val="04A0" w:firstRow="1" w:lastRow="0" w:firstColumn="1" w:lastColumn="0" w:noHBand="0" w:noVBand="1"/>
      </w:tblPr>
      <w:tblGrid>
        <w:gridCol w:w="2381"/>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381"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953661" w:rsidRDefault="0067690C" w:rsidP="004F1DAE">
            <w:pPr>
              <w:rPr>
                <w:rFonts w:ascii="Calibri" w:hAnsi="Calibri" w:cs="Calibri"/>
                <w:b/>
                <w:bCs/>
                <w:color w:val="000000"/>
                <w:sz w:val="22"/>
                <w:szCs w:val="22"/>
                <w:lang w:eastAsia="en-GB"/>
              </w:rPr>
            </w:pPr>
            <w:r>
              <w:rPr>
                <w:rFonts w:ascii="Calibri" w:hAnsi="Calibri" w:cs="Calibri"/>
                <w:b/>
                <w:bCs/>
                <w:color w:val="000000"/>
                <w:lang w:eastAsia="en-GB"/>
              </w:rPr>
              <w:t>Genital Warts 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381"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F1DAE">
        <w:trPr>
          <w:trHeight w:val="300"/>
        </w:trPr>
        <w:tc>
          <w:tcPr>
            <w:tcW w:w="2381"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r>
      <w:tr w:rsidR="0067690C" w:rsidRPr="00462493" w:rsidTr="004F1DAE">
        <w:trPr>
          <w:trHeight w:val="300"/>
        </w:trPr>
        <w:tc>
          <w:tcPr>
            <w:tcW w:w="2381"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BB19E4" w:rsidRDefault="0067690C" w:rsidP="0024600E">
            <w:pPr>
              <w:jc w:val="left"/>
              <w:rPr>
                <w:rFonts w:ascii="Calibri" w:hAnsi="Calibri" w:cs="Calibri"/>
                <w:b/>
                <w:color w:val="000000"/>
                <w:lang w:eastAsia="en-GB"/>
              </w:rPr>
            </w:pPr>
            <w:r w:rsidRPr="00BB19E4">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r>
      <w:tr w:rsidR="0067690C" w:rsidRPr="00462493" w:rsidTr="004F1DAE">
        <w:trPr>
          <w:trHeight w:val="540"/>
        </w:trPr>
        <w:tc>
          <w:tcPr>
            <w:tcW w:w="2381"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BB19E4" w:rsidRDefault="0067690C" w:rsidP="0024600E">
            <w:pPr>
              <w:jc w:val="left"/>
              <w:rPr>
                <w:rFonts w:ascii="Calibri" w:hAnsi="Calibri" w:cs="Calibri"/>
                <w:b/>
                <w:color w:val="000000"/>
                <w:lang w:eastAsia="en-GB"/>
              </w:rPr>
            </w:pPr>
            <w:r>
              <w:rPr>
                <w:rFonts w:ascii="Calibri" w:hAnsi="Calibri" w:cs="Calibri"/>
                <w:b/>
                <w:color w:val="000000"/>
                <w:lang w:eastAsia="en-GB"/>
              </w:rPr>
              <w:t>Genital</w:t>
            </w:r>
            <w:r w:rsidRPr="00BB19E4">
              <w:rPr>
                <w:rFonts w:ascii="Calibri" w:hAnsi="Calibri" w:cs="Calibri"/>
                <w:b/>
                <w:color w:val="000000"/>
                <w:lang w:eastAsia="en-GB"/>
              </w:rPr>
              <w:t xml:space="preserve"> </w:t>
            </w:r>
            <w:r>
              <w:rPr>
                <w:rFonts w:ascii="Calibri" w:hAnsi="Calibri" w:cs="Calibri"/>
                <w:b/>
                <w:color w:val="000000"/>
                <w:lang w:eastAsia="en-GB"/>
              </w:rPr>
              <w:t>Warts</w:t>
            </w:r>
            <w:r w:rsidRPr="00BB19E4">
              <w:rPr>
                <w:rFonts w:ascii="Calibri" w:hAnsi="Calibri" w:cs="Calibri"/>
                <w:b/>
                <w:color w:val="000000"/>
                <w:lang w:eastAsia="en-GB"/>
              </w:rPr>
              <w:t xml:space="preserve">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42</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47</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42</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44</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42</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37</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44</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37</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42</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50</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sidRPr="00462493">
        <w:rPr>
          <w:rFonts w:asciiTheme="minorHAnsi" w:hAnsiTheme="minorHAnsi" w:cstheme="minorHAnsi"/>
          <w:b/>
          <w:sz w:val="22"/>
          <w:szCs w:val="22"/>
        </w:rPr>
        <w:t>Scores from HIV / AIDS section</w:t>
      </w:r>
    </w:p>
    <w:tbl>
      <w:tblPr>
        <w:tblW w:w="13934" w:type="dxa"/>
        <w:tblInd w:w="93" w:type="dxa"/>
        <w:tblLook w:val="04A0" w:firstRow="1" w:lastRow="0" w:firstColumn="1" w:lastColumn="0" w:noHBand="0" w:noVBand="1"/>
      </w:tblPr>
      <w:tblGrid>
        <w:gridCol w:w="2438"/>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4F1DAE">
        <w:trPr>
          <w:trHeight w:val="227"/>
        </w:trPr>
        <w:tc>
          <w:tcPr>
            <w:tcW w:w="2438"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BB19E4" w:rsidRDefault="0067690C" w:rsidP="004F1DAE">
            <w:pPr>
              <w:rPr>
                <w:rFonts w:ascii="Calibri" w:hAnsi="Calibri" w:cs="Calibri"/>
                <w:b/>
                <w:bCs/>
                <w:color w:val="000000"/>
                <w:lang w:eastAsia="en-GB"/>
              </w:rPr>
            </w:pPr>
            <w:r>
              <w:rPr>
                <w:rFonts w:asciiTheme="minorHAnsi" w:hAnsiTheme="minorHAnsi" w:cstheme="minorHAnsi"/>
                <w:b/>
              </w:rPr>
              <w:t>HIV / AIDS</w:t>
            </w:r>
            <w:r w:rsidRPr="00BB19E4">
              <w:rPr>
                <w:rFonts w:asciiTheme="minorHAnsi" w:hAnsiTheme="minorHAnsi" w:cstheme="minorHAnsi"/>
                <w:b/>
              </w:rPr>
              <w:t xml:space="preserve"> </w:t>
            </w:r>
            <w:r w:rsidRPr="00BB19E4">
              <w:rPr>
                <w:rFonts w:ascii="Calibri" w:hAnsi="Calibri" w:cs="Calibri"/>
                <w:b/>
                <w:bCs/>
                <w:color w:val="000000"/>
                <w:lang w:eastAsia="en-GB"/>
              </w:rPr>
              <w:t>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2438"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4F1DAE">
        <w:trPr>
          <w:trHeight w:val="300"/>
        </w:trPr>
        <w:tc>
          <w:tcPr>
            <w:tcW w:w="243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Zero correct</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r>
      <w:tr w:rsidR="0067690C" w:rsidRPr="00462493" w:rsidTr="004F1DAE">
        <w:trPr>
          <w:trHeight w:val="300"/>
        </w:trPr>
        <w:tc>
          <w:tcPr>
            <w:tcW w:w="2438"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One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r>
      <w:tr w:rsidR="0067690C" w:rsidRPr="00462493" w:rsidTr="004F1DAE">
        <w:trPr>
          <w:trHeight w:val="300"/>
        </w:trPr>
        <w:tc>
          <w:tcPr>
            <w:tcW w:w="2438"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Two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47</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48</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46</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45</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52</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48</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47</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45</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55</w:t>
            </w:r>
          </w:p>
        </w:tc>
      </w:tr>
      <w:tr w:rsidR="0067690C" w:rsidRPr="00462493" w:rsidTr="004F1DAE">
        <w:trPr>
          <w:trHeight w:val="300"/>
        </w:trPr>
        <w:tc>
          <w:tcPr>
            <w:tcW w:w="2438"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Three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18</w:t>
            </w:r>
          </w:p>
        </w:tc>
      </w:tr>
      <w:tr w:rsidR="0067690C" w:rsidRPr="00462493" w:rsidTr="004F1DAE">
        <w:trPr>
          <w:trHeight w:val="300"/>
        </w:trPr>
        <w:tc>
          <w:tcPr>
            <w:tcW w:w="2438"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Four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0</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r>
      <w:tr w:rsidR="0067690C" w:rsidRPr="00462493" w:rsidTr="004F1DAE">
        <w:trPr>
          <w:trHeight w:val="540"/>
        </w:trPr>
        <w:tc>
          <w:tcPr>
            <w:tcW w:w="2438"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823031" w:rsidRDefault="0067690C" w:rsidP="0024600E">
            <w:pPr>
              <w:jc w:val="left"/>
              <w:rPr>
                <w:rFonts w:ascii="Calibri" w:hAnsi="Calibri" w:cs="Calibri"/>
                <w:b/>
                <w:color w:val="000000"/>
                <w:lang w:eastAsia="en-GB"/>
              </w:rPr>
            </w:pPr>
            <w:r w:rsidRPr="00823031">
              <w:rPr>
                <w:rFonts w:ascii="Calibri" w:hAnsi="Calibri" w:cs="Calibri"/>
                <w:b/>
                <w:color w:val="000000"/>
                <w:lang w:eastAsia="en-GB"/>
              </w:rPr>
              <w:t>HIV / AIDS questions asked but not attempted</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r>
    </w:tbl>
    <w:p w:rsidR="00F3746F" w:rsidRDefault="00F3746F"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Overall Sexual Health Question Scores</w:t>
      </w:r>
    </w:p>
    <w:tbl>
      <w:tblPr>
        <w:tblW w:w="14331" w:type="dxa"/>
        <w:tblInd w:w="93" w:type="dxa"/>
        <w:tblLook w:val="04A0" w:firstRow="1" w:lastRow="0" w:firstColumn="1" w:lastColumn="0" w:noHBand="0" w:noVBand="1"/>
      </w:tblPr>
      <w:tblGrid>
        <w:gridCol w:w="2835"/>
        <w:gridCol w:w="815"/>
        <w:gridCol w:w="640"/>
        <w:gridCol w:w="820"/>
        <w:gridCol w:w="732"/>
        <w:gridCol w:w="655"/>
        <w:gridCol w:w="790"/>
        <w:gridCol w:w="983"/>
        <w:gridCol w:w="841"/>
        <w:gridCol w:w="982"/>
        <w:gridCol w:w="927"/>
        <w:gridCol w:w="973"/>
        <w:gridCol w:w="455"/>
        <w:gridCol w:w="455"/>
        <w:gridCol w:w="455"/>
        <w:gridCol w:w="973"/>
      </w:tblGrid>
      <w:tr w:rsidR="0067690C" w:rsidRPr="00EB5B0E" w:rsidTr="00F3746F">
        <w:trPr>
          <w:trHeight w:val="227"/>
        </w:trPr>
        <w:tc>
          <w:tcPr>
            <w:tcW w:w="2835"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BB19E4" w:rsidRDefault="0067690C" w:rsidP="004F1DAE">
            <w:pPr>
              <w:rPr>
                <w:rFonts w:ascii="Calibri" w:hAnsi="Calibri" w:cs="Calibri"/>
                <w:b/>
                <w:bCs/>
                <w:color w:val="000000"/>
                <w:lang w:eastAsia="en-GB"/>
              </w:rPr>
            </w:pPr>
            <w:r>
              <w:rPr>
                <w:rFonts w:asciiTheme="minorHAnsi" w:hAnsiTheme="minorHAnsi" w:cstheme="minorHAnsi"/>
                <w:b/>
              </w:rPr>
              <w:t>Overall</w:t>
            </w:r>
            <w:r w:rsidRPr="00BB19E4">
              <w:rPr>
                <w:rFonts w:asciiTheme="minorHAnsi" w:hAnsiTheme="minorHAnsi" w:cstheme="minorHAnsi"/>
                <w:b/>
              </w:rPr>
              <w:t xml:space="preserve"> </w:t>
            </w:r>
            <w:r w:rsidRPr="00BB19E4">
              <w:rPr>
                <w:rFonts w:ascii="Calibri" w:hAnsi="Calibri" w:cs="Calibri"/>
                <w:b/>
                <w:bCs/>
                <w:color w:val="000000"/>
                <w:lang w:eastAsia="en-GB"/>
              </w:rPr>
              <w:t>Scores</w:t>
            </w:r>
          </w:p>
        </w:tc>
        <w:tc>
          <w:tcPr>
            <w:tcW w:w="815" w:type="dxa"/>
            <w:vMerge w:val="restart"/>
            <w:tcBorders>
              <w:top w:val="single" w:sz="12" w:space="0" w:color="auto"/>
              <w:left w:val="single" w:sz="12" w:space="0" w:color="auto"/>
              <w:right w:val="single" w:sz="12" w:space="0" w:color="auto"/>
            </w:tcBorders>
            <w:shd w:val="clear" w:color="auto" w:fill="A6A6A6" w:themeFill="background1" w:themeFillShade="A6"/>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46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38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Urban/Rural</w:t>
            </w:r>
          </w:p>
        </w:tc>
        <w:tc>
          <w:tcPr>
            <w:tcW w:w="4523"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311"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F3746F">
        <w:trPr>
          <w:trHeight w:val="540"/>
        </w:trPr>
        <w:tc>
          <w:tcPr>
            <w:tcW w:w="2835"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462493" w:rsidRDefault="0067690C" w:rsidP="004F1DAE">
            <w:pPr>
              <w:rPr>
                <w:rFonts w:ascii="Calibri" w:hAnsi="Calibri" w:cs="Calibri"/>
                <w:b/>
                <w:bCs/>
                <w:color w:val="000000"/>
                <w:lang w:eastAsia="en-GB"/>
              </w:rPr>
            </w:pPr>
          </w:p>
        </w:tc>
        <w:tc>
          <w:tcPr>
            <w:tcW w:w="815" w:type="dxa"/>
            <w:vMerge/>
            <w:tcBorders>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p>
        </w:tc>
        <w:tc>
          <w:tcPr>
            <w:tcW w:w="64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820"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732"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655"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79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983"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841"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982"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927"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973"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55" w:type="dxa"/>
            <w:tcBorders>
              <w:top w:val="single" w:sz="12" w:space="0" w:color="auto"/>
              <w:left w:val="nil"/>
              <w:bottom w:val="single" w:sz="12" w:space="0" w:color="auto"/>
              <w:right w:val="single" w:sz="4"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973" w:type="dxa"/>
            <w:tcBorders>
              <w:top w:val="single" w:sz="12" w:space="0" w:color="auto"/>
              <w:left w:val="nil"/>
              <w:bottom w:val="single" w:sz="12" w:space="0" w:color="auto"/>
              <w:right w:val="single" w:sz="12" w:space="0" w:color="auto"/>
            </w:tcBorders>
            <w:shd w:val="clear" w:color="auto" w:fill="A6A6A6" w:themeFill="background1" w:themeFillShade="A6"/>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RPr="00462493" w:rsidTr="00F3746F">
        <w:trPr>
          <w:trHeight w:val="300"/>
        </w:trPr>
        <w:tc>
          <w:tcPr>
            <w:tcW w:w="2835"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Not aware of selected STIs</w:t>
            </w:r>
          </w:p>
        </w:tc>
        <w:tc>
          <w:tcPr>
            <w:tcW w:w="81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64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82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732"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655"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79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3"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84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82"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927"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9</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7</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455"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8</w:t>
            </w:r>
          </w:p>
        </w:tc>
        <w:tc>
          <w:tcPr>
            <w:tcW w:w="97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r>
      <w:tr w:rsidR="0067690C" w:rsidRPr="00462493" w:rsidTr="00F3746F">
        <w:trPr>
          <w:trHeight w:val="300"/>
        </w:trPr>
        <w:tc>
          <w:tcPr>
            <w:tcW w:w="2835" w:type="dxa"/>
            <w:tcBorders>
              <w:top w:val="single" w:sz="4"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0 Correct</w:t>
            </w:r>
          </w:p>
        </w:tc>
        <w:tc>
          <w:tcPr>
            <w:tcW w:w="815" w:type="dxa"/>
            <w:tcBorders>
              <w:top w:val="single" w:sz="4"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640"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820"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732"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655"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6</w:t>
            </w:r>
          </w:p>
        </w:tc>
        <w:tc>
          <w:tcPr>
            <w:tcW w:w="790"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84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8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927" w:type="dxa"/>
            <w:tcBorders>
              <w:top w:val="single" w:sz="4"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973" w:type="dxa"/>
            <w:tcBorders>
              <w:top w:val="single" w:sz="4"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4</w:t>
            </w:r>
          </w:p>
        </w:tc>
        <w:tc>
          <w:tcPr>
            <w:tcW w:w="4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4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5</w:t>
            </w:r>
          </w:p>
        </w:tc>
        <w:tc>
          <w:tcPr>
            <w:tcW w:w="4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c>
          <w:tcPr>
            <w:tcW w:w="973" w:type="dxa"/>
            <w:tcBorders>
              <w:top w:val="single" w:sz="4"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3</w:t>
            </w:r>
          </w:p>
        </w:tc>
      </w:tr>
      <w:tr w:rsidR="0067690C" w:rsidRPr="00462493" w:rsidTr="00F3746F">
        <w:trPr>
          <w:trHeight w:val="300"/>
        </w:trPr>
        <w:tc>
          <w:tcPr>
            <w:tcW w:w="2835"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1-5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20</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15</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21</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28</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r>
      <w:tr w:rsidR="0067690C" w:rsidRPr="00462493" w:rsidTr="00F3746F">
        <w:trPr>
          <w:trHeight w:val="300"/>
        </w:trPr>
        <w:tc>
          <w:tcPr>
            <w:tcW w:w="2835"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6-10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22</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23</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r>
      <w:tr w:rsidR="0067690C" w:rsidRPr="00462493" w:rsidTr="00F3746F">
        <w:trPr>
          <w:trHeight w:val="300"/>
        </w:trPr>
        <w:tc>
          <w:tcPr>
            <w:tcW w:w="2835"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11-15 Correct</w:t>
            </w:r>
          </w:p>
        </w:tc>
        <w:tc>
          <w:tcPr>
            <w:tcW w:w="815"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64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82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732"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27</w:t>
            </w:r>
          </w:p>
        </w:tc>
        <w:tc>
          <w:tcPr>
            <w:tcW w:w="655"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79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33</w:t>
            </w:r>
          </w:p>
        </w:tc>
        <w:tc>
          <w:tcPr>
            <w:tcW w:w="983"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28</w:t>
            </w:r>
          </w:p>
        </w:tc>
        <w:tc>
          <w:tcPr>
            <w:tcW w:w="84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982"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927"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24</w:t>
            </w:r>
          </w:p>
        </w:tc>
        <w:tc>
          <w:tcPr>
            <w:tcW w:w="973"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28</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25</w:t>
            </w:r>
          </w:p>
        </w:tc>
        <w:tc>
          <w:tcPr>
            <w:tcW w:w="455"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29</w:t>
            </w:r>
          </w:p>
        </w:tc>
        <w:tc>
          <w:tcPr>
            <w:tcW w:w="97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26</w:t>
            </w:r>
          </w:p>
        </w:tc>
      </w:tr>
      <w:tr w:rsidR="0067690C" w:rsidRPr="00462493" w:rsidTr="00F3746F">
        <w:trPr>
          <w:trHeight w:val="300"/>
        </w:trPr>
        <w:tc>
          <w:tcPr>
            <w:tcW w:w="2835"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5A2D37" w:rsidRDefault="0067690C" w:rsidP="0024600E">
            <w:pPr>
              <w:jc w:val="left"/>
              <w:rPr>
                <w:rFonts w:ascii="Calibri" w:hAnsi="Calibri" w:cs="Calibri"/>
                <w:b/>
                <w:color w:val="000000"/>
              </w:rPr>
            </w:pPr>
            <w:r w:rsidRPr="005A2D37">
              <w:rPr>
                <w:rFonts w:ascii="Calibri" w:hAnsi="Calibri" w:cs="Calibri"/>
                <w:b/>
                <w:color w:val="000000"/>
              </w:rPr>
              <w:t>16+ Correct</w:t>
            </w:r>
          </w:p>
        </w:tc>
        <w:tc>
          <w:tcPr>
            <w:tcW w:w="815"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13</w:t>
            </w:r>
          </w:p>
        </w:tc>
        <w:tc>
          <w:tcPr>
            <w:tcW w:w="64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82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732"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14</w:t>
            </w:r>
          </w:p>
        </w:tc>
        <w:tc>
          <w:tcPr>
            <w:tcW w:w="655"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79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19</w:t>
            </w:r>
          </w:p>
        </w:tc>
        <w:tc>
          <w:tcPr>
            <w:tcW w:w="983"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10</w:t>
            </w:r>
          </w:p>
        </w:tc>
        <w:tc>
          <w:tcPr>
            <w:tcW w:w="84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982"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27"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12</w:t>
            </w:r>
          </w:p>
        </w:tc>
        <w:tc>
          <w:tcPr>
            <w:tcW w:w="455"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11</w:t>
            </w:r>
          </w:p>
        </w:tc>
        <w:tc>
          <w:tcPr>
            <w:tcW w:w="97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rPr>
            </w:pPr>
            <w:r>
              <w:rPr>
                <w:rFonts w:ascii="Calibri" w:hAnsi="Calibri" w:cs="Calibri"/>
                <w:color w:val="000000"/>
              </w:rPr>
              <w:t>17</w:t>
            </w:r>
          </w:p>
        </w:tc>
      </w:tr>
    </w:tbl>
    <w:p w:rsidR="0067690C" w:rsidRPr="00CE5DA1" w:rsidRDefault="0067690C" w:rsidP="00684604">
      <w:pPr>
        <w:tabs>
          <w:tab w:val="center" w:pos="4075"/>
        </w:tabs>
        <w:autoSpaceDE w:val="0"/>
        <w:autoSpaceDN w:val="0"/>
        <w:adjustRightInd w:val="0"/>
        <w:spacing w:before="120"/>
        <w:rPr>
          <w:rFonts w:asciiTheme="minorHAnsi" w:hAnsiTheme="minorHAnsi" w:cstheme="minorHAnsi"/>
          <w:b/>
          <w:sz w:val="22"/>
          <w:szCs w:val="22"/>
        </w:rPr>
      </w:pPr>
      <w:r w:rsidRPr="00CE5DA1">
        <w:rPr>
          <w:rFonts w:ascii="Calibri" w:hAnsi="Calibri" w:cs="Calibri"/>
          <w:b/>
          <w:color w:val="000000"/>
          <w:sz w:val="22"/>
          <w:szCs w:val="22"/>
          <w:lang w:eastAsia="en-GB"/>
        </w:rPr>
        <w:t>Which of the following do you think act as protection against sexually transmitted infections (STIs)?</w:t>
      </w:r>
    </w:p>
    <w:tbl>
      <w:tblPr>
        <w:tblW w:w="14342" w:type="dxa"/>
        <w:tblInd w:w="93" w:type="dxa"/>
        <w:tblLayout w:type="fixed"/>
        <w:tblLook w:val="04A0" w:firstRow="1" w:lastRow="0" w:firstColumn="1" w:lastColumn="0" w:noHBand="0" w:noVBand="1"/>
      </w:tblPr>
      <w:tblGrid>
        <w:gridCol w:w="1814"/>
        <w:gridCol w:w="1020"/>
        <w:gridCol w:w="1020"/>
        <w:gridCol w:w="794"/>
        <w:gridCol w:w="1247"/>
        <w:gridCol w:w="1417"/>
        <w:gridCol w:w="567"/>
        <w:gridCol w:w="1020"/>
        <w:gridCol w:w="1247"/>
        <w:gridCol w:w="567"/>
        <w:gridCol w:w="1247"/>
        <w:gridCol w:w="1247"/>
        <w:gridCol w:w="1135"/>
      </w:tblGrid>
      <w:tr w:rsidR="0067690C" w:rsidRPr="00EB5B0E" w:rsidTr="004F1DAE">
        <w:trPr>
          <w:trHeight w:val="227"/>
        </w:trPr>
        <w:tc>
          <w:tcPr>
            <w:tcW w:w="1814" w:type="dxa"/>
            <w:vMerge w:val="restart"/>
            <w:tcBorders>
              <w:top w:val="single" w:sz="12" w:space="0" w:color="auto"/>
              <w:left w:val="single" w:sz="12" w:space="0" w:color="auto"/>
              <w:right w:val="single" w:sz="12" w:space="0" w:color="auto"/>
            </w:tcBorders>
            <w:shd w:val="clear" w:color="auto" w:fill="A6A6A6" w:themeFill="background1" w:themeFillShade="A6"/>
            <w:noWrap/>
            <w:vAlign w:val="bottom"/>
            <w:hideMark/>
          </w:tcPr>
          <w:p w:rsidR="0067690C" w:rsidRPr="005F221C" w:rsidRDefault="0067690C" w:rsidP="004F1DAE">
            <w:pPr>
              <w:rPr>
                <w:rFonts w:ascii="Calibri" w:hAnsi="Calibri" w:cs="Calibri"/>
                <w:b/>
                <w:bCs/>
                <w:color w:val="000000"/>
                <w:lang w:eastAsia="en-GB"/>
              </w:rPr>
            </w:pPr>
            <w:r>
              <w:rPr>
                <w:rFonts w:ascii="Calibri" w:hAnsi="Calibri" w:cs="Calibri"/>
                <w:b/>
                <w:bCs/>
                <w:color w:val="000000"/>
                <w:lang w:eastAsia="en-GB"/>
              </w:rPr>
              <w:t>Does this provide protection against STIs?</w:t>
            </w:r>
          </w:p>
        </w:tc>
        <w:tc>
          <w:tcPr>
            <w:tcW w:w="2834" w:type="dxa"/>
            <w:gridSpan w:val="3"/>
            <w:tcBorders>
              <w:top w:val="single" w:sz="12" w:space="0" w:color="auto"/>
              <w:left w:val="single" w:sz="12" w:space="0" w:color="auto"/>
              <w:bottom w:val="single" w:sz="4" w:space="0" w:color="auto"/>
              <w:right w:val="single" w:sz="12" w:space="0" w:color="auto"/>
            </w:tcBorders>
            <w:shd w:val="clear" w:color="auto" w:fill="A6A6A6" w:themeFill="background1" w:themeFillShade="A6"/>
            <w:vAlign w:val="bottom"/>
            <w:hideMark/>
          </w:tcPr>
          <w:p w:rsidR="0067690C" w:rsidRPr="005F221C" w:rsidRDefault="0067690C" w:rsidP="004F1DAE">
            <w:pPr>
              <w:jc w:val="center"/>
              <w:rPr>
                <w:rFonts w:ascii="Calibri" w:hAnsi="Calibri" w:cs="Calibri"/>
                <w:b/>
                <w:bCs/>
                <w:color w:val="000000"/>
                <w:lang w:eastAsia="en-GB"/>
              </w:rPr>
            </w:pPr>
            <w:r w:rsidRPr="005F221C">
              <w:rPr>
                <w:rFonts w:ascii="Calibri" w:hAnsi="Calibri" w:cs="Calibri"/>
                <w:b/>
                <w:bCs/>
                <w:color w:val="000000"/>
                <w:lang w:eastAsia="en-GB"/>
              </w:rPr>
              <w:t>Provides protection</w:t>
            </w:r>
          </w:p>
        </w:tc>
        <w:tc>
          <w:tcPr>
            <w:tcW w:w="9694" w:type="dxa"/>
            <w:gridSpan w:val="9"/>
            <w:tcBorders>
              <w:top w:val="single" w:sz="12" w:space="0" w:color="auto"/>
              <w:left w:val="single" w:sz="12" w:space="0" w:color="auto"/>
              <w:bottom w:val="single" w:sz="4" w:space="0" w:color="auto"/>
              <w:right w:val="single" w:sz="12" w:space="0" w:color="auto"/>
            </w:tcBorders>
            <w:shd w:val="clear" w:color="auto" w:fill="A6A6A6" w:themeFill="background1" w:themeFillShade="A6"/>
            <w:vAlign w:val="bottom"/>
          </w:tcPr>
          <w:p w:rsidR="0067690C" w:rsidRPr="005F221C" w:rsidRDefault="0067690C" w:rsidP="004F1DAE">
            <w:pPr>
              <w:jc w:val="center"/>
              <w:rPr>
                <w:rFonts w:ascii="Calibri" w:hAnsi="Calibri" w:cs="Calibri"/>
                <w:b/>
                <w:bCs/>
                <w:color w:val="000000"/>
                <w:lang w:eastAsia="en-GB"/>
              </w:rPr>
            </w:pPr>
            <w:r w:rsidRPr="005F221C">
              <w:rPr>
                <w:rFonts w:ascii="Calibri" w:hAnsi="Calibri" w:cs="Calibri"/>
                <w:b/>
                <w:bCs/>
                <w:color w:val="000000"/>
                <w:lang w:eastAsia="en-GB"/>
              </w:rPr>
              <w:t>Does not provide protection</w:t>
            </w:r>
          </w:p>
        </w:tc>
      </w:tr>
      <w:tr w:rsidR="0067690C" w:rsidRPr="00462493" w:rsidTr="004F1DAE">
        <w:trPr>
          <w:trHeight w:val="540"/>
        </w:trPr>
        <w:tc>
          <w:tcPr>
            <w:tcW w:w="1814"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5F221C" w:rsidRDefault="0067690C" w:rsidP="004F1DAE">
            <w:pPr>
              <w:rPr>
                <w:rFonts w:ascii="Calibri" w:hAnsi="Calibri" w:cs="Calibri"/>
                <w:b/>
                <w:bCs/>
                <w:color w:val="000000"/>
                <w:lang w:eastAsia="en-GB"/>
              </w:rPr>
            </w:pPr>
          </w:p>
        </w:tc>
        <w:tc>
          <w:tcPr>
            <w:tcW w:w="1020" w:type="dxa"/>
            <w:tcBorders>
              <w:top w:val="single" w:sz="4"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Condoms</w:t>
            </w:r>
          </w:p>
        </w:tc>
        <w:tc>
          <w:tcPr>
            <w:tcW w:w="1020"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Femidom</w:t>
            </w:r>
          </w:p>
        </w:tc>
        <w:tc>
          <w:tcPr>
            <w:tcW w:w="794" w:type="dxa"/>
            <w:tcBorders>
              <w:top w:val="single" w:sz="4" w:space="0" w:color="auto"/>
              <w:left w:val="single" w:sz="4" w:space="0" w:color="auto"/>
              <w:bottom w:val="single" w:sz="12" w:space="0" w:color="auto"/>
              <w:right w:val="single" w:sz="12"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Dental Dam</w:t>
            </w:r>
          </w:p>
        </w:tc>
        <w:tc>
          <w:tcPr>
            <w:tcW w:w="1247" w:type="dxa"/>
            <w:tcBorders>
              <w:top w:val="single" w:sz="4" w:space="0" w:color="auto"/>
              <w:left w:val="single" w:sz="12" w:space="0" w:color="auto"/>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Withdrawal</w:t>
            </w:r>
          </w:p>
        </w:tc>
        <w:tc>
          <w:tcPr>
            <w:tcW w:w="1417"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Pr>
                <w:rFonts w:ascii="Calibri" w:hAnsi="Calibri" w:cs="Calibri"/>
                <w:b/>
                <w:color w:val="000000"/>
              </w:rPr>
              <w:t>Emergency Contraception (</w:t>
            </w:r>
            <w:r w:rsidRPr="005F221C">
              <w:rPr>
                <w:rFonts w:ascii="Calibri" w:hAnsi="Calibri" w:cs="Calibri"/>
                <w:b/>
                <w:color w:val="000000"/>
              </w:rPr>
              <w:t>Morning after</w:t>
            </w:r>
            <w:r>
              <w:rPr>
                <w:rFonts w:ascii="Calibri" w:hAnsi="Calibri" w:cs="Calibri"/>
                <w:b/>
                <w:color w:val="000000"/>
              </w:rPr>
              <w:t xml:space="preserve"> </w:t>
            </w:r>
            <w:r w:rsidRPr="005F221C">
              <w:rPr>
                <w:rFonts w:ascii="Calibri" w:hAnsi="Calibri" w:cs="Calibri"/>
                <w:b/>
                <w:color w:val="000000"/>
              </w:rPr>
              <w:t>pill</w:t>
            </w:r>
            <w:r>
              <w:rPr>
                <w:rFonts w:ascii="Calibri" w:hAnsi="Calibri" w:cs="Calibri"/>
                <w:b/>
                <w:color w:val="000000"/>
              </w:rPr>
              <w:t>)</w:t>
            </w:r>
          </w:p>
        </w:tc>
        <w:tc>
          <w:tcPr>
            <w:tcW w:w="567"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The Pill</w:t>
            </w:r>
          </w:p>
        </w:tc>
        <w:tc>
          <w:tcPr>
            <w:tcW w:w="1020"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Rhythm method / Billings method</w:t>
            </w:r>
          </w:p>
        </w:tc>
        <w:tc>
          <w:tcPr>
            <w:tcW w:w="1247" w:type="dxa"/>
            <w:tcBorders>
              <w:top w:val="single" w:sz="4" w:space="0" w:color="auto"/>
              <w:left w:val="single" w:sz="4" w:space="0" w:color="auto"/>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Sterilisation</w:t>
            </w:r>
          </w:p>
        </w:tc>
        <w:tc>
          <w:tcPr>
            <w:tcW w:w="567"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Coil</w:t>
            </w:r>
          </w:p>
        </w:tc>
        <w:tc>
          <w:tcPr>
            <w:tcW w:w="1247"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 xml:space="preserve"> Injections / Implants </w:t>
            </w:r>
          </w:p>
        </w:tc>
        <w:tc>
          <w:tcPr>
            <w:tcW w:w="1247" w:type="dxa"/>
            <w:tcBorders>
              <w:top w:val="single" w:sz="4" w:space="0" w:color="auto"/>
              <w:left w:val="nil"/>
              <w:bottom w:val="single" w:sz="12" w:space="0" w:color="auto"/>
              <w:right w:val="single" w:sz="4"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Spermicides</w:t>
            </w:r>
          </w:p>
        </w:tc>
        <w:tc>
          <w:tcPr>
            <w:tcW w:w="1134" w:type="dxa"/>
            <w:tcBorders>
              <w:top w:val="single" w:sz="4" w:space="0" w:color="auto"/>
              <w:left w:val="nil"/>
              <w:bottom w:val="single" w:sz="12" w:space="0" w:color="auto"/>
              <w:right w:val="single" w:sz="12" w:space="0" w:color="auto"/>
            </w:tcBorders>
            <w:shd w:val="clear" w:color="auto" w:fill="A6A6A6" w:themeFill="background1" w:themeFillShade="A6"/>
            <w:vAlign w:val="bottom"/>
            <w:hideMark/>
          </w:tcPr>
          <w:p w:rsidR="0067690C" w:rsidRPr="005F221C" w:rsidRDefault="0067690C" w:rsidP="004F1DAE">
            <w:pPr>
              <w:rPr>
                <w:rFonts w:ascii="Calibri" w:hAnsi="Calibri" w:cs="Calibri"/>
                <w:b/>
                <w:color w:val="000000"/>
              </w:rPr>
            </w:pPr>
            <w:r w:rsidRPr="005F221C">
              <w:rPr>
                <w:rFonts w:ascii="Calibri" w:hAnsi="Calibri" w:cs="Calibri"/>
                <w:b/>
                <w:color w:val="000000"/>
              </w:rPr>
              <w:t>Cap / Diaphragm</w:t>
            </w:r>
          </w:p>
        </w:tc>
      </w:tr>
      <w:tr w:rsidR="0067690C" w:rsidTr="004F1DAE">
        <w:trPr>
          <w:trHeight w:val="300"/>
        </w:trPr>
        <w:tc>
          <w:tcPr>
            <w:tcW w:w="1814"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4600E" w:rsidRDefault="0067690C" w:rsidP="0024600E">
            <w:pPr>
              <w:jc w:val="left"/>
              <w:rPr>
                <w:rFonts w:ascii="Calibri" w:hAnsi="Calibri" w:cs="Calibri"/>
                <w:b/>
                <w:color w:val="000000"/>
              </w:rPr>
            </w:pPr>
            <w:r w:rsidRPr="0024600E">
              <w:rPr>
                <w:rFonts w:ascii="Calibri" w:hAnsi="Calibri" w:cs="Calibri"/>
                <w:b/>
                <w:color w:val="000000"/>
              </w:rPr>
              <w:t>Yes</w:t>
            </w:r>
          </w:p>
        </w:tc>
        <w:tc>
          <w:tcPr>
            <w:tcW w:w="102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86</w:t>
            </w:r>
          </w:p>
        </w:tc>
        <w:tc>
          <w:tcPr>
            <w:tcW w:w="102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46</w:t>
            </w:r>
          </w:p>
        </w:tc>
        <w:tc>
          <w:tcPr>
            <w:tcW w:w="794" w:type="dxa"/>
            <w:tcBorders>
              <w:top w:val="single" w:sz="12" w:space="0" w:color="auto"/>
              <w:left w:val="single" w:sz="4" w:space="0" w:color="auto"/>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w:t>
            </w:r>
          </w:p>
        </w:tc>
        <w:tc>
          <w:tcPr>
            <w:tcW w:w="1247"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w:t>
            </w:r>
          </w:p>
        </w:tc>
        <w:tc>
          <w:tcPr>
            <w:tcW w:w="141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14</w:t>
            </w:r>
          </w:p>
        </w:tc>
        <w:tc>
          <w:tcPr>
            <w:tcW w:w="56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21</w:t>
            </w:r>
          </w:p>
        </w:tc>
        <w:tc>
          <w:tcPr>
            <w:tcW w:w="102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w:t>
            </w:r>
          </w:p>
        </w:tc>
        <w:tc>
          <w:tcPr>
            <w:tcW w:w="1247" w:type="dxa"/>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15</w:t>
            </w:r>
          </w:p>
        </w:tc>
        <w:tc>
          <w:tcPr>
            <w:tcW w:w="56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14</w:t>
            </w:r>
          </w:p>
        </w:tc>
        <w:tc>
          <w:tcPr>
            <w:tcW w:w="124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12</w:t>
            </w:r>
          </w:p>
        </w:tc>
        <w:tc>
          <w:tcPr>
            <w:tcW w:w="1247"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10</w:t>
            </w:r>
          </w:p>
        </w:tc>
        <w:tc>
          <w:tcPr>
            <w:tcW w:w="1134"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15</w:t>
            </w:r>
          </w:p>
        </w:tc>
      </w:tr>
      <w:tr w:rsidR="0067690C" w:rsidTr="004F1DAE">
        <w:trPr>
          <w:trHeight w:val="300"/>
        </w:trPr>
        <w:tc>
          <w:tcPr>
            <w:tcW w:w="1814" w:type="dxa"/>
            <w:tcBorders>
              <w:top w:val="nil"/>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24600E" w:rsidRDefault="0067690C" w:rsidP="0024600E">
            <w:pPr>
              <w:jc w:val="left"/>
              <w:rPr>
                <w:rFonts w:ascii="Calibri" w:hAnsi="Calibri" w:cs="Calibri"/>
                <w:b/>
                <w:color w:val="000000"/>
              </w:rPr>
            </w:pPr>
            <w:r w:rsidRPr="0024600E">
              <w:rPr>
                <w:rFonts w:ascii="Calibri" w:hAnsi="Calibri" w:cs="Calibri"/>
                <w:b/>
                <w:color w:val="000000"/>
              </w:rPr>
              <w:t>No</w:t>
            </w:r>
          </w:p>
        </w:tc>
        <w:tc>
          <w:tcPr>
            <w:tcW w:w="102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16</w:t>
            </w:r>
          </w:p>
        </w:tc>
        <w:tc>
          <w:tcPr>
            <w:tcW w:w="794" w:type="dxa"/>
            <w:tcBorders>
              <w:top w:val="nil"/>
              <w:left w:val="single" w:sz="4" w:space="0" w:color="auto"/>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1247"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70</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67</w:t>
            </w:r>
          </w:p>
        </w:tc>
        <w:tc>
          <w:tcPr>
            <w:tcW w:w="56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63</w:t>
            </w:r>
          </w:p>
        </w:tc>
        <w:tc>
          <w:tcPr>
            <w:tcW w:w="102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57</w:t>
            </w:r>
          </w:p>
        </w:tc>
        <w:tc>
          <w:tcPr>
            <w:tcW w:w="124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56</w:t>
            </w:r>
          </w:p>
        </w:tc>
        <w:tc>
          <w:tcPr>
            <w:tcW w:w="56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54</w:t>
            </w:r>
          </w:p>
        </w:tc>
        <w:tc>
          <w:tcPr>
            <w:tcW w:w="124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54</w:t>
            </w:r>
          </w:p>
        </w:tc>
        <w:tc>
          <w:tcPr>
            <w:tcW w:w="1247"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51</w:t>
            </w:r>
          </w:p>
        </w:tc>
        <w:tc>
          <w:tcPr>
            <w:tcW w:w="1134"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50</w:t>
            </w:r>
          </w:p>
        </w:tc>
      </w:tr>
      <w:tr w:rsidR="0067690C" w:rsidTr="004F1DAE">
        <w:trPr>
          <w:trHeight w:val="300"/>
        </w:trPr>
        <w:tc>
          <w:tcPr>
            <w:tcW w:w="1814" w:type="dxa"/>
            <w:tcBorders>
              <w:top w:val="nil"/>
              <w:left w:val="single" w:sz="12" w:space="0" w:color="auto"/>
              <w:bottom w:val="single" w:sz="12" w:space="0" w:color="auto"/>
              <w:right w:val="single" w:sz="12" w:space="0" w:color="auto"/>
            </w:tcBorders>
            <w:shd w:val="clear" w:color="auto" w:fill="A6A6A6" w:themeFill="background1" w:themeFillShade="A6"/>
            <w:vAlign w:val="bottom"/>
            <w:hideMark/>
          </w:tcPr>
          <w:p w:rsidR="0067690C" w:rsidRPr="00F3746F" w:rsidRDefault="0067690C" w:rsidP="0024600E">
            <w:pPr>
              <w:jc w:val="left"/>
              <w:rPr>
                <w:rFonts w:ascii="Calibri" w:hAnsi="Calibri" w:cs="Calibri"/>
                <w:b/>
                <w:color w:val="000000"/>
                <w:sz w:val="18"/>
                <w:szCs w:val="18"/>
              </w:rPr>
            </w:pPr>
            <w:r w:rsidRPr="00F3746F">
              <w:rPr>
                <w:rFonts w:ascii="Calibri" w:hAnsi="Calibri" w:cs="Calibri"/>
                <w:b/>
                <w:color w:val="000000"/>
                <w:sz w:val="18"/>
                <w:szCs w:val="18"/>
              </w:rPr>
              <w:t xml:space="preserve">Don't know / </w:t>
            </w:r>
          </w:p>
          <w:p w:rsidR="0067690C" w:rsidRPr="0024600E" w:rsidRDefault="0067690C" w:rsidP="0024600E">
            <w:pPr>
              <w:jc w:val="left"/>
              <w:rPr>
                <w:rFonts w:ascii="Calibri" w:hAnsi="Calibri" w:cs="Calibri"/>
                <w:b/>
                <w:color w:val="000000"/>
              </w:rPr>
            </w:pPr>
            <w:r w:rsidRPr="00F3746F">
              <w:rPr>
                <w:rFonts w:ascii="Calibri" w:hAnsi="Calibri" w:cs="Calibri"/>
                <w:b/>
                <w:color w:val="000000"/>
                <w:sz w:val="18"/>
                <w:szCs w:val="18"/>
              </w:rPr>
              <w:t>Never heard of</w:t>
            </w:r>
          </w:p>
        </w:tc>
        <w:tc>
          <w:tcPr>
            <w:tcW w:w="102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12</w:t>
            </w:r>
          </w:p>
        </w:tc>
        <w:tc>
          <w:tcPr>
            <w:tcW w:w="102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39</w:t>
            </w:r>
          </w:p>
        </w:tc>
        <w:tc>
          <w:tcPr>
            <w:tcW w:w="794" w:type="dxa"/>
            <w:tcBorders>
              <w:top w:val="nil"/>
              <w:left w:val="single" w:sz="4" w:space="0" w:color="auto"/>
              <w:bottom w:val="single" w:sz="12"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80</w:t>
            </w:r>
          </w:p>
        </w:tc>
        <w:tc>
          <w:tcPr>
            <w:tcW w:w="1247"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1417"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19</w:t>
            </w:r>
          </w:p>
        </w:tc>
        <w:tc>
          <w:tcPr>
            <w:tcW w:w="567"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16</w:t>
            </w:r>
          </w:p>
        </w:tc>
        <w:tc>
          <w:tcPr>
            <w:tcW w:w="102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36</w:t>
            </w:r>
          </w:p>
        </w:tc>
        <w:tc>
          <w:tcPr>
            <w:tcW w:w="1247" w:type="dxa"/>
            <w:tcBorders>
              <w:top w:val="nil"/>
              <w:left w:val="single" w:sz="4" w:space="0" w:color="auto"/>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29</w:t>
            </w:r>
          </w:p>
        </w:tc>
        <w:tc>
          <w:tcPr>
            <w:tcW w:w="567"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32</w:t>
            </w:r>
          </w:p>
        </w:tc>
        <w:tc>
          <w:tcPr>
            <w:tcW w:w="1247"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34</w:t>
            </w:r>
          </w:p>
        </w:tc>
        <w:tc>
          <w:tcPr>
            <w:tcW w:w="1247"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39</w:t>
            </w:r>
          </w:p>
        </w:tc>
        <w:tc>
          <w:tcPr>
            <w:tcW w:w="1134"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35</w:t>
            </w:r>
          </w:p>
        </w:tc>
      </w:tr>
    </w:tbl>
    <w:p w:rsidR="0067690C" w:rsidRPr="00364AA3" w:rsidRDefault="0067690C" w:rsidP="00684604">
      <w:pPr>
        <w:pStyle w:val="Heading3"/>
        <w:spacing w:before="120"/>
        <w:rPr>
          <w:rFonts w:asciiTheme="minorHAnsi" w:hAnsiTheme="minorHAnsi" w:cstheme="minorHAnsi"/>
          <w:color w:val="auto"/>
          <w:sz w:val="22"/>
          <w:szCs w:val="22"/>
        </w:rPr>
      </w:pPr>
      <w:bookmarkStart w:id="86" w:name="_Ref381946813"/>
      <w:r w:rsidRPr="00364AA3">
        <w:rPr>
          <w:rFonts w:asciiTheme="minorHAnsi" w:hAnsiTheme="minorHAnsi" w:cstheme="minorHAnsi"/>
          <w:color w:val="auto"/>
          <w:sz w:val="22"/>
          <w:szCs w:val="22"/>
        </w:rPr>
        <w:t>Statements about condoms by gender</w:t>
      </w:r>
      <w:bookmarkEnd w:id="86"/>
    </w:p>
    <w:tbl>
      <w:tblPr>
        <w:tblW w:w="14266" w:type="dxa"/>
        <w:tblInd w:w="103" w:type="dxa"/>
        <w:tblLook w:val="04A0" w:firstRow="1" w:lastRow="0" w:firstColumn="1" w:lastColumn="0" w:noHBand="0" w:noVBand="1"/>
      </w:tblPr>
      <w:tblGrid>
        <w:gridCol w:w="4195"/>
        <w:gridCol w:w="695"/>
        <w:gridCol w:w="505"/>
        <w:gridCol w:w="794"/>
        <w:gridCol w:w="691"/>
        <w:gridCol w:w="676"/>
        <w:gridCol w:w="680"/>
        <w:gridCol w:w="505"/>
        <w:gridCol w:w="794"/>
        <w:gridCol w:w="691"/>
        <w:gridCol w:w="680"/>
        <w:gridCol w:w="690"/>
        <w:gridCol w:w="505"/>
        <w:gridCol w:w="794"/>
        <w:gridCol w:w="691"/>
        <w:gridCol w:w="680"/>
      </w:tblGrid>
      <w:tr w:rsidR="0067690C" w:rsidRPr="00963651" w:rsidTr="00F3746F">
        <w:trPr>
          <w:trHeight w:val="300"/>
        </w:trPr>
        <w:tc>
          <w:tcPr>
            <w:tcW w:w="419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tcMar>
            <w:vAlign w:val="bottom"/>
            <w:hideMark/>
          </w:tcPr>
          <w:p w:rsidR="0067690C" w:rsidRPr="00B518C8" w:rsidRDefault="0067690C" w:rsidP="004F1DAE">
            <w:pPr>
              <w:rPr>
                <w:rFonts w:ascii="Calibri" w:hAnsi="Calibri" w:cs="Calibri"/>
                <w:b/>
                <w:color w:val="000000"/>
                <w:lang w:eastAsia="en-GB"/>
              </w:rPr>
            </w:pPr>
            <w:r w:rsidRPr="00B518C8">
              <w:rPr>
                <w:rFonts w:ascii="Calibri" w:hAnsi="Calibri" w:cs="Calibri"/>
                <w:b/>
                <w:color w:val="000000"/>
                <w:lang w:eastAsia="en-GB"/>
              </w:rPr>
              <w:t> </w:t>
            </w:r>
          </w:p>
          <w:p w:rsidR="0067690C" w:rsidRPr="00B518C8" w:rsidRDefault="0067690C" w:rsidP="004F1DAE">
            <w:pPr>
              <w:rPr>
                <w:rFonts w:ascii="Calibri" w:hAnsi="Calibri" w:cs="Calibri"/>
                <w:b/>
                <w:color w:val="000000"/>
                <w:lang w:eastAsia="en-GB"/>
              </w:rPr>
            </w:pPr>
            <w:r w:rsidRPr="00B518C8">
              <w:rPr>
                <w:rFonts w:ascii="Calibri" w:hAnsi="Calibri" w:cs="Calibri"/>
                <w:b/>
                <w:color w:val="000000"/>
                <w:lang w:eastAsia="en-GB"/>
              </w:rPr>
              <w:t> Statements about condoms</w:t>
            </w:r>
          </w:p>
        </w:tc>
        <w:tc>
          <w:tcPr>
            <w:tcW w:w="3361" w:type="dxa"/>
            <w:gridSpan w:val="5"/>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30F4A" w:rsidRDefault="0067690C" w:rsidP="004F1DAE">
            <w:pPr>
              <w:rPr>
                <w:rFonts w:ascii="Calibri" w:hAnsi="Calibri" w:cs="Calibri"/>
                <w:b/>
                <w:color w:val="000000"/>
                <w:lang w:eastAsia="en-GB"/>
              </w:rPr>
            </w:pPr>
            <w:r w:rsidRPr="00830F4A">
              <w:rPr>
                <w:rFonts w:ascii="Calibri" w:hAnsi="Calibri" w:cs="Calibri"/>
                <w:b/>
                <w:color w:val="000000"/>
                <w:lang w:eastAsia="en-GB"/>
              </w:rPr>
              <w:t>Overall </w:t>
            </w:r>
          </w:p>
        </w:tc>
        <w:tc>
          <w:tcPr>
            <w:tcW w:w="3350" w:type="dxa"/>
            <w:gridSpan w:val="5"/>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30F4A" w:rsidRDefault="0067690C" w:rsidP="004F1DAE">
            <w:pPr>
              <w:rPr>
                <w:rFonts w:ascii="Calibri" w:hAnsi="Calibri" w:cs="Calibri"/>
                <w:b/>
                <w:color w:val="000000"/>
                <w:lang w:eastAsia="en-GB"/>
              </w:rPr>
            </w:pPr>
            <w:r w:rsidRPr="00830F4A">
              <w:rPr>
                <w:rFonts w:ascii="Calibri" w:hAnsi="Calibri" w:cs="Calibri"/>
                <w:b/>
                <w:color w:val="000000"/>
                <w:lang w:eastAsia="en-GB"/>
              </w:rPr>
              <w:t>Male</w:t>
            </w:r>
          </w:p>
        </w:tc>
        <w:tc>
          <w:tcPr>
            <w:tcW w:w="3360" w:type="dxa"/>
            <w:gridSpan w:val="5"/>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67690C" w:rsidRPr="00830F4A" w:rsidRDefault="0067690C" w:rsidP="004F1DAE">
            <w:pPr>
              <w:rPr>
                <w:rFonts w:ascii="Calibri" w:hAnsi="Calibri" w:cs="Calibri"/>
                <w:b/>
                <w:color w:val="000000"/>
                <w:lang w:eastAsia="en-GB"/>
              </w:rPr>
            </w:pPr>
            <w:r w:rsidRPr="00830F4A">
              <w:rPr>
                <w:rFonts w:ascii="Calibri" w:hAnsi="Calibri" w:cs="Calibri"/>
                <w:b/>
                <w:color w:val="000000"/>
                <w:lang w:eastAsia="en-GB"/>
              </w:rPr>
              <w:t>Female</w:t>
            </w:r>
          </w:p>
        </w:tc>
      </w:tr>
      <w:tr w:rsidR="0067690C" w:rsidRPr="00963651" w:rsidTr="00F3746F">
        <w:trPr>
          <w:trHeight w:val="300"/>
        </w:trPr>
        <w:tc>
          <w:tcPr>
            <w:tcW w:w="4195" w:type="dxa"/>
            <w:vMerge/>
            <w:tcBorders>
              <w:left w:val="single" w:sz="12" w:space="0" w:color="auto"/>
              <w:bottom w:val="single" w:sz="12" w:space="0" w:color="auto"/>
              <w:right w:val="single" w:sz="12" w:space="0" w:color="auto"/>
            </w:tcBorders>
            <w:shd w:val="clear" w:color="auto" w:fill="A6A6A6" w:themeFill="background1" w:themeFillShade="A6"/>
            <w:noWrap/>
            <w:vAlign w:val="bottom"/>
            <w:hideMark/>
          </w:tcPr>
          <w:p w:rsidR="0067690C" w:rsidRPr="00963651" w:rsidRDefault="0067690C" w:rsidP="004F1DAE">
            <w:pPr>
              <w:rPr>
                <w:rFonts w:ascii="Calibri" w:hAnsi="Calibri" w:cs="Calibri"/>
                <w:color w:val="000000"/>
                <w:lang w:eastAsia="en-GB"/>
              </w:rPr>
            </w:pPr>
          </w:p>
        </w:tc>
        <w:tc>
          <w:tcPr>
            <w:tcW w:w="695" w:type="dxa"/>
            <w:tcBorders>
              <w:top w:val="nil"/>
              <w:left w:val="single" w:sz="12" w:space="0" w:color="auto"/>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Agree</w:t>
            </w:r>
          </w:p>
        </w:tc>
        <w:tc>
          <w:tcPr>
            <w:tcW w:w="794" w:type="dxa"/>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Neither disagree nor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Disagree</w:t>
            </w:r>
          </w:p>
        </w:tc>
        <w:tc>
          <w:tcPr>
            <w:tcW w:w="676" w:type="dxa"/>
            <w:tcBorders>
              <w:top w:val="nil"/>
              <w:left w:val="nil"/>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disagree</w:t>
            </w:r>
          </w:p>
        </w:tc>
        <w:tc>
          <w:tcPr>
            <w:tcW w:w="680" w:type="dxa"/>
            <w:tcBorders>
              <w:top w:val="nil"/>
              <w:left w:val="single" w:sz="12" w:space="0" w:color="auto"/>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Agree</w:t>
            </w:r>
          </w:p>
        </w:tc>
        <w:tc>
          <w:tcPr>
            <w:tcW w:w="794" w:type="dxa"/>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Neither disagree nor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Disagree</w:t>
            </w:r>
          </w:p>
        </w:tc>
        <w:tc>
          <w:tcPr>
            <w:tcW w:w="680" w:type="dxa"/>
            <w:tcBorders>
              <w:top w:val="nil"/>
              <w:left w:val="nil"/>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disagree</w:t>
            </w:r>
          </w:p>
        </w:tc>
        <w:tc>
          <w:tcPr>
            <w:tcW w:w="690" w:type="dxa"/>
            <w:tcBorders>
              <w:top w:val="nil"/>
              <w:left w:val="single" w:sz="12" w:space="0" w:color="auto"/>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Agree</w:t>
            </w:r>
          </w:p>
        </w:tc>
        <w:tc>
          <w:tcPr>
            <w:tcW w:w="794" w:type="dxa"/>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Neither disagree nor agree</w:t>
            </w:r>
          </w:p>
        </w:tc>
        <w:tc>
          <w:tcPr>
            <w:tcW w:w="0" w:type="auto"/>
            <w:tcBorders>
              <w:top w:val="nil"/>
              <w:left w:val="nil"/>
              <w:bottom w:val="single" w:sz="12" w:space="0" w:color="auto"/>
              <w:right w:val="single" w:sz="4"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Disagree</w:t>
            </w:r>
          </w:p>
        </w:tc>
        <w:tc>
          <w:tcPr>
            <w:tcW w:w="680" w:type="dxa"/>
            <w:tcBorders>
              <w:top w:val="nil"/>
              <w:left w:val="nil"/>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830F4A" w:rsidRDefault="0067690C" w:rsidP="004F1DAE">
            <w:pPr>
              <w:rPr>
                <w:rFonts w:ascii="Calibri" w:hAnsi="Calibri" w:cs="Calibri"/>
                <w:b/>
                <w:color w:val="000000"/>
                <w:sz w:val="16"/>
                <w:szCs w:val="16"/>
                <w:lang w:eastAsia="en-GB"/>
              </w:rPr>
            </w:pPr>
            <w:r w:rsidRPr="00830F4A">
              <w:rPr>
                <w:rFonts w:ascii="Calibri" w:hAnsi="Calibri" w:cs="Calibri"/>
                <w:b/>
                <w:color w:val="000000"/>
                <w:sz w:val="16"/>
                <w:szCs w:val="16"/>
                <w:lang w:eastAsia="en-GB"/>
              </w:rPr>
              <w:t>Strongly disagree</w:t>
            </w:r>
          </w:p>
        </w:tc>
      </w:tr>
      <w:tr w:rsidR="0067690C" w:rsidRPr="00963651" w:rsidTr="00F3746F">
        <w:trPr>
          <w:trHeight w:val="300"/>
        </w:trPr>
        <w:tc>
          <w:tcPr>
            <w:tcW w:w="4195"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24600E" w:rsidRDefault="0067690C" w:rsidP="0024600E">
            <w:pPr>
              <w:jc w:val="left"/>
              <w:rPr>
                <w:rFonts w:ascii="Calibri" w:hAnsi="Calibri" w:cs="Calibri"/>
                <w:b/>
                <w:color w:val="000000"/>
                <w:sz w:val="18"/>
                <w:szCs w:val="18"/>
                <w:lang w:eastAsia="en-GB"/>
              </w:rPr>
            </w:pPr>
            <w:r w:rsidRPr="0024600E">
              <w:rPr>
                <w:rFonts w:ascii="Calibri" w:hAnsi="Calibri" w:cs="Calibri"/>
                <w:b/>
                <w:color w:val="000000"/>
                <w:sz w:val="18"/>
                <w:szCs w:val="18"/>
                <w:lang w:eastAsia="en-GB"/>
              </w:rPr>
              <w:t>It is necessary to use them with a new partner even if I/ they are using some other method of contraception</w:t>
            </w:r>
          </w:p>
        </w:tc>
        <w:tc>
          <w:tcPr>
            <w:tcW w:w="695"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64</w:t>
            </w:r>
          </w:p>
        </w:tc>
        <w:tc>
          <w:tcPr>
            <w:tcW w:w="0" w:type="auto"/>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25</w:t>
            </w:r>
          </w:p>
        </w:tc>
        <w:tc>
          <w:tcPr>
            <w:tcW w:w="794"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9</w:t>
            </w:r>
          </w:p>
        </w:tc>
        <w:tc>
          <w:tcPr>
            <w:tcW w:w="0" w:type="auto"/>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w:t>
            </w:r>
          </w:p>
        </w:tc>
        <w:tc>
          <w:tcPr>
            <w:tcW w:w="676"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0</w:t>
            </w:r>
          </w:p>
        </w:tc>
        <w:tc>
          <w:tcPr>
            <w:tcW w:w="68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53</w:t>
            </w:r>
          </w:p>
        </w:tc>
        <w:tc>
          <w:tcPr>
            <w:tcW w:w="0" w:type="auto"/>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31</w:t>
            </w:r>
          </w:p>
        </w:tc>
        <w:tc>
          <w:tcPr>
            <w:tcW w:w="794"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0" w:type="auto"/>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w:t>
            </w:r>
          </w:p>
        </w:tc>
        <w:tc>
          <w:tcPr>
            <w:tcW w:w="680"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0</w:t>
            </w:r>
          </w:p>
        </w:tc>
        <w:tc>
          <w:tcPr>
            <w:tcW w:w="69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73</w:t>
            </w:r>
          </w:p>
        </w:tc>
        <w:tc>
          <w:tcPr>
            <w:tcW w:w="0" w:type="auto"/>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20</w:t>
            </w:r>
          </w:p>
        </w:tc>
        <w:tc>
          <w:tcPr>
            <w:tcW w:w="794"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6</w:t>
            </w:r>
          </w:p>
        </w:tc>
        <w:tc>
          <w:tcPr>
            <w:tcW w:w="0" w:type="auto"/>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w:t>
            </w:r>
          </w:p>
        </w:tc>
        <w:tc>
          <w:tcPr>
            <w:tcW w:w="680"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0</w:t>
            </w:r>
          </w:p>
        </w:tc>
      </w:tr>
      <w:tr w:rsidR="0067690C" w:rsidRPr="00963651" w:rsidTr="00F3746F">
        <w:trPr>
          <w:trHeight w:val="300"/>
        </w:trPr>
        <w:tc>
          <w:tcPr>
            <w:tcW w:w="4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24600E" w:rsidRDefault="0067690C" w:rsidP="0024600E">
            <w:pPr>
              <w:jc w:val="left"/>
              <w:rPr>
                <w:rFonts w:ascii="Calibri" w:hAnsi="Calibri" w:cs="Calibri"/>
                <w:b/>
                <w:color w:val="000000"/>
                <w:sz w:val="18"/>
                <w:szCs w:val="18"/>
                <w:lang w:eastAsia="en-GB"/>
              </w:rPr>
            </w:pPr>
            <w:r w:rsidRPr="0024600E">
              <w:rPr>
                <w:rFonts w:ascii="Calibri" w:hAnsi="Calibri" w:cs="Calibri"/>
                <w:b/>
                <w:color w:val="000000"/>
                <w:sz w:val="18"/>
                <w:szCs w:val="18"/>
                <w:lang w:eastAsia="en-GB"/>
              </w:rPr>
              <w:t>If i wanted to have sex with a new partner, I wouldn’t do it if we didn’t have any</w:t>
            </w:r>
          </w:p>
        </w:tc>
        <w:tc>
          <w:tcPr>
            <w:tcW w:w="695"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30</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11</w:t>
            </w:r>
          </w:p>
        </w:tc>
        <w:tc>
          <w:tcPr>
            <w:tcW w:w="676"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w:t>
            </w:r>
          </w:p>
        </w:tc>
        <w:tc>
          <w:tcPr>
            <w:tcW w:w="68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34</w:t>
            </w: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17</w:t>
            </w:r>
          </w:p>
        </w:tc>
        <w:tc>
          <w:tcPr>
            <w:tcW w:w="68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w:t>
            </w:r>
          </w:p>
        </w:tc>
        <w:tc>
          <w:tcPr>
            <w:tcW w:w="69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48</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27</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8</w:t>
            </w:r>
          </w:p>
        </w:tc>
        <w:tc>
          <w:tcPr>
            <w:tcW w:w="680"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4</w:t>
            </w:r>
          </w:p>
        </w:tc>
      </w:tr>
      <w:tr w:rsidR="0067690C" w:rsidRPr="00963651" w:rsidTr="00F3746F">
        <w:trPr>
          <w:trHeight w:val="300"/>
        </w:trPr>
        <w:tc>
          <w:tcPr>
            <w:tcW w:w="4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24600E" w:rsidRDefault="0067690C" w:rsidP="0024600E">
            <w:pPr>
              <w:jc w:val="left"/>
              <w:rPr>
                <w:rFonts w:ascii="Calibri" w:hAnsi="Calibri" w:cs="Calibri"/>
                <w:b/>
                <w:color w:val="000000"/>
                <w:sz w:val="18"/>
                <w:szCs w:val="18"/>
                <w:lang w:eastAsia="en-GB"/>
              </w:rPr>
            </w:pPr>
            <w:r w:rsidRPr="0024600E">
              <w:rPr>
                <w:rFonts w:ascii="Calibri" w:hAnsi="Calibri" w:cs="Calibri"/>
                <w:b/>
                <w:color w:val="000000"/>
                <w:sz w:val="18"/>
                <w:szCs w:val="18"/>
                <w:lang w:eastAsia="en-GB"/>
              </w:rPr>
              <w:t>Once a new sexual partner has become a regular partner, I would not really feel the need to use them</w:t>
            </w:r>
          </w:p>
        </w:tc>
        <w:tc>
          <w:tcPr>
            <w:tcW w:w="695"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34</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676"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12</w:t>
            </w:r>
          </w:p>
        </w:tc>
        <w:tc>
          <w:tcPr>
            <w:tcW w:w="68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35</w:t>
            </w: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68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8</w:t>
            </w:r>
          </w:p>
        </w:tc>
        <w:tc>
          <w:tcPr>
            <w:tcW w:w="69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33</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19</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680"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14</w:t>
            </w:r>
          </w:p>
        </w:tc>
      </w:tr>
      <w:tr w:rsidR="0067690C" w:rsidRPr="00963651" w:rsidTr="00F3746F">
        <w:trPr>
          <w:trHeight w:val="300"/>
        </w:trPr>
        <w:tc>
          <w:tcPr>
            <w:tcW w:w="419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24600E" w:rsidRDefault="0067690C" w:rsidP="0024600E">
            <w:pPr>
              <w:jc w:val="left"/>
              <w:rPr>
                <w:rFonts w:ascii="Calibri" w:hAnsi="Calibri" w:cs="Calibri"/>
                <w:b/>
                <w:color w:val="000000"/>
                <w:sz w:val="18"/>
                <w:szCs w:val="18"/>
                <w:lang w:eastAsia="en-GB"/>
              </w:rPr>
            </w:pPr>
            <w:r w:rsidRPr="0024600E">
              <w:rPr>
                <w:rFonts w:ascii="Calibri" w:hAnsi="Calibri" w:cs="Calibri"/>
                <w:b/>
                <w:color w:val="000000"/>
                <w:sz w:val="18"/>
                <w:szCs w:val="18"/>
                <w:lang w:eastAsia="en-GB"/>
              </w:rPr>
              <w:t>If a partner had taken an STI test and had been given the all clear I would not really feel the need to use them</w:t>
            </w:r>
          </w:p>
        </w:tc>
        <w:tc>
          <w:tcPr>
            <w:tcW w:w="695"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30</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18</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28</w:t>
            </w:r>
          </w:p>
        </w:tc>
        <w:tc>
          <w:tcPr>
            <w:tcW w:w="676"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680"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31</w:t>
            </w:r>
          </w:p>
        </w:tc>
        <w:tc>
          <w:tcPr>
            <w:tcW w:w="794"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29</w:t>
            </w:r>
          </w:p>
        </w:tc>
        <w:tc>
          <w:tcPr>
            <w:tcW w:w="680"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8</w:t>
            </w:r>
          </w:p>
        </w:tc>
        <w:tc>
          <w:tcPr>
            <w:tcW w:w="69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30</w:t>
            </w:r>
          </w:p>
        </w:tc>
        <w:tc>
          <w:tcPr>
            <w:tcW w:w="794"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28</w:t>
            </w:r>
          </w:p>
        </w:tc>
        <w:tc>
          <w:tcPr>
            <w:tcW w:w="680"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17</w:t>
            </w:r>
          </w:p>
        </w:tc>
      </w:tr>
      <w:tr w:rsidR="0067690C" w:rsidRPr="00963651" w:rsidTr="00F3746F">
        <w:trPr>
          <w:trHeight w:val="300"/>
        </w:trPr>
        <w:tc>
          <w:tcPr>
            <w:tcW w:w="4195"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24600E" w:rsidRDefault="0067690C" w:rsidP="0024600E">
            <w:pPr>
              <w:jc w:val="left"/>
              <w:rPr>
                <w:rFonts w:ascii="Calibri" w:hAnsi="Calibri" w:cs="Calibri"/>
                <w:b/>
                <w:color w:val="000000"/>
                <w:sz w:val="18"/>
                <w:szCs w:val="18"/>
                <w:lang w:eastAsia="en-GB"/>
              </w:rPr>
            </w:pPr>
            <w:r w:rsidRPr="0024600E">
              <w:rPr>
                <w:rFonts w:ascii="Calibri" w:hAnsi="Calibri" w:cs="Calibri"/>
                <w:b/>
                <w:color w:val="000000"/>
                <w:sz w:val="18"/>
                <w:szCs w:val="18"/>
                <w:lang w:eastAsia="en-GB"/>
              </w:rPr>
              <w:t>It is necessary to use them when engaging in oral sex</w:t>
            </w:r>
          </w:p>
        </w:tc>
        <w:tc>
          <w:tcPr>
            <w:tcW w:w="695"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13</w:t>
            </w:r>
          </w:p>
        </w:tc>
        <w:tc>
          <w:tcPr>
            <w:tcW w:w="0" w:type="auto"/>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21</w:t>
            </w:r>
          </w:p>
        </w:tc>
        <w:tc>
          <w:tcPr>
            <w:tcW w:w="794"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32</w:t>
            </w:r>
          </w:p>
        </w:tc>
        <w:tc>
          <w:tcPr>
            <w:tcW w:w="0" w:type="auto"/>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28</w:t>
            </w:r>
          </w:p>
        </w:tc>
        <w:tc>
          <w:tcPr>
            <w:tcW w:w="676"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w:t>
            </w:r>
          </w:p>
        </w:tc>
        <w:tc>
          <w:tcPr>
            <w:tcW w:w="680"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w:t>
            </w:r>
          </w:p>
        </w:tc>
        <w:tc>
          <w:tcPr>
            <w:tcW w:w="0" w:type="auto"/>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20</w:t>
            </w:r>
          </w:p>
        </w:tc>
        <w:tc>
          <w:tcPr>
            <w:tcW w:w="794"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30</w:t>
            </w:r>
          </w:p>
        </w:tc>
        <w:tc>
          <w:tcPr>
            <w:tcW w:w="0" w:type="auto"/>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36</w:t>
            </w:r>
          </w:p>
        </w:tc>
        <w:tc>
          <w:tcPr>
            <w:tcW w:w="680"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7</w:t>
            </w:r>
          </w:p>
        </w:tc>
        <w:tc>
          <w:tcPr>
            <w:tcW w:w="69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17</w:t>
            </w:r>
          </w:p>
        </w:tc>
        <w:tc>
          <w:tcPr>
            <w:tcW w:w="0" w:type="auto"/>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22</w:t>
            </w:r>
          </w:p>
        </w:tc>
        <w:tc>
          <w:tcPr>
            <w:tcW w:w="794"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34</w:t>
            </w:r>
          </w:p>
        </w:tc>
        <w:tc>
          <w:tcPr>
            <w:tcW w:w="0" w:type="auto"/>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23</w:t>
            </w:r>
          </w:p>
        </w:tc>
        <w:tc>
          <w:tcPr>
            <w:tcW w:w="6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Pr="001C0135" w:rsidRDefault="0067690C" w:rsidP="004F1DAE">
            <w:pPr>
              <w:jc w:val="right"/>
              <w:rPr>
                <w:rFonts w:ascii="Calibri" w:hAnsi="Calibri" w:cs="Calibri"/>
                <w:color w:val="000000"/>
              </w:rPr>
            </w:pPr>
            <w:r w:rsidRPr="001C0135">
              <w:rPr>
                <w:rFonts w:ascii="Calibri" w:hAnsi="Calibri" w:cs="Calibri"/>
                <w:color w:val="000000"/>
              </w:rPr>
              <w:t>5</w:t>
            </w:r>
          </w:p>
        </w:tc>
      </w:tr>
    </w:tbl>
    <w:p w:rsidR="0067690C" w:rsidRPr="00364AA3" w:rsidRDefault="0067690C" w:rsidP="00364AA3">
      <w:pPr>
        <w:pStyle w:val="Heading3"/>
        <w:spacing w:before="0"/>
        <w:rPr>
          <w:rFonts w:asciiTheme="minorHAnsi" w:hAnsiTheme="minorHAnsi" w:cstheme="minorHAnsi"/>
          <w:color w:val="auto"/>
          <w:sz w:val="22"/>
          <w:szCs w:val="22"/>
        </w:rPr>
      </w:pPr>
      <w:bookmarkStart w:id="87" w:name="_Ref381946818"/>
      <w:r w:rsidRPr="00364AA3">
        <w:rPr>
          <w:rFonts w:asciiTheme="minorHAnsi" w:hAnsiTheme="minorHAnsi" w:cstheme="minorHAnsi"/>
          <w:color w:val="auto"/>
          <w:sz w:val="22"/>
          <w:szCs w:val="22"/>
        </w:rPr>
        <w:t>Type of Heating Installed – One Respondent per Household</w:t>
      </w:r>
      <w:bookmarkEnd w:id="87"/>
    </w:p>
    <w:tbl>
      <w:tblPr>
        <w:tblW w:w="12720" w:type="dxa"/>
        <w:tblInd w:w="93" w:type="dxa"/>
        <w:tblLook w:val="04A0" w:firstRow="1" w:lastRow="0" w:firstColumn="1" w:lastColumn="0" w:noHBand="0" w:noVBand="1"/>
      </w:tblPr>
      <w:tblGrid>
        <w:gridCol w:w="3742"/>
        <w:gridCol w:w="713"/>
        <w:gridCol w:w="630"/>
        <w:gridCol w:w="553"/>
        <w:gridCol w:w="688"/>
        <w:gridCol w:w="881"/>
        <w:gridCol w:w="739"/>
        <w:gridCol w:w="880"/>
        <w:gridCol w:w="825"/>
        <w:gridCol w:w="7"/>
        <w:gridCol w:w="864"/>
        <w:gridCol w:w="440"/>
        <w:gridCol w:w="440"/>
        <w:gridCol w:w="440"/>
        <w:gridCol w:w="871"/>
        <w:gridCol w:w="7"/>
      </w:tblGrid>
      <w:tr w:rsidR="0067690C" w:rsidRPr="00EB5B0E" w:rsidTr="004F1DAE">
        <w:trPr>
          <w:trHeight w:val="227"/>
        </w:trPr>
        <w:tc>
          <w:tcPr>
            <w:tcW w:w="3742"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BE1A84" w:rsidRDefault="0067690C"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1E81" w:rsidRDefault="0067690C"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gridAfter w:val="1"/>
          <w:wAfter w:w="7" w:type="dxa"/>
          <w:trHeight w:val="540"/>
        </w:trPr>
        <w:tc>
          <w:tcPr>
            <w:tcW w:w="3742"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Tr="00023227">
        <w:trPr>
          <w:gridAfter w:val="1"/>
          <w:wAfter w:w="7" w:type="dxa"/>
          <w:trHeight w:val="283"/>
        </w:trPr>
        <w:tc>
          <w:tcPr>
            <w:tcW w:w="3742"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Oil fired central heating</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75</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67</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93</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82</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55</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82</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85</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73</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 xml:space="preserve">Open fire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38</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35</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 xml:space="preserve">Gas boiler heating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Wood burning stove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 xml:space="preserve">Glass fronted fire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r>
      <w:tr w:rsidR="0067690C" w:rsidTr="00023227">
        <w:trPr>
          <w:gridAfter w:val="1"/>
          <w:wAfter w:w="7" w:type="dxa"/>
          <w:trHeight w:val="283"/>
        </w:trPr>
        <w:tc>
          <w:tcPr>
            <w:tcW w:w="3742"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 xml:space="preserve">Gas appliance eg cooker or fire </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14</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18</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22</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Smoke Alarms – One Respondent per Household</w:t>
      </w:r>
    </w:p>
    <w:tbl>
      <w:tblPr>
        <w:tblW w:w="12720" w:type="dxa"/>
        <w:tblInd w:w="93" w:type="dxa"/>
        <w:tblLook w:val="04A0" w:firstRow="1" w:lastRow="0" w:firstColumn="1" w:lastColumn="0" w:noHBand="0" w:noVBand="1"/>
      </w:tblPr>
      <w:tblGrid>
        <w:gridCol w:w="3742"/>
        <w:gridCol w:w="713"/>
        <w:gridCol w:w="630"/>
        <w:gridCol w:w="553"/>
        <w:gridCol w:w="688"/>
        <w:gridCol w:w="881"/>
        <w:gridCol w:w="739"/>
        <w:gridCol w:w="880"/>
        <w:gridCol w:w="825"/>
        <w:gridCol w:w="7"/>
        <w:gridCol w:w="864"/>
        <w:gridCol w:w="440"/>
        <w:gridCol w:w="440"/>
        <w:gridCol w:w="440"/>
        <w:gridCol w:w="871"/>
        <w:gridCol w:w="7"/>
      </w:tblGrid>
      <w:tr w:rsidR="0067690C" w:rsidRPr="00EB5B0E" w:rsidTr="004F1DAE">
        <w:trPr>
          <w:trHeight w:val="227"/>
        </w:trPr>
        <w:tc>
          <w:tcPr>
            <w:tcW w:w="3742"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BE1A84" w:rsidRDefault="0067690C"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1E81" w:rsidRDefault="0067690C"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gridAfter w:val="1"/>
          <w:wAfter w:w="7" w:type="dxa"/>
          <w:trHeight w:val="540"/>
        </w:trPr>
        <w:tc>
          <w:tcPr>
            <w:tcW w:w="3742"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Tr="00023227">
        <w:trPr>
          <w:gridAfter w:val="1"/>
          <w:wAfter w:w="7" w:type="dxa"/>
          <w:trHeight w:val="283"/>
        </w:trPr>
        <w:tc>
          <w:tcPr>
            <w:tcW w:w="374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Smoke alarm installed</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97</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97</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96</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97</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98</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96</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97</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95</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95</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98</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95</w:t>
            </w:r>
          </w:p>
        </w:tc>
        <w:tc>
          <w:tcPr>
            <w:tcW w:w="871"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97</w:t>
            </w:r>
          </w:p>
        </w:tc>
      </w:tr>
      <w:tr w:rsidR="0067690C" w:rsidTr="00023227">
        <w:trPr>
          <w:gridAfter w:val="1"/>
          <w:wAfter w:w="7" w:type="dxa"/>
          <w:trHeight w:val="283"/>
        </w:trPr>
        <w:tc>
          <w:tcPr>
            <w:tcW w:w="12713" w:type="dxa"/>
            <w:gridSpan w:val="15"/>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color w:val="000000"/>
                <w:sz w:val="22"/>
                <w:szCs w:val="22"/>
              </w:rPr>
            </w:pPr>
            <w:r>
              <w:rPr>
                <w:rFonts w:ascii="Calibri" w:hAnsi="Calibri" w:cs="Calibri"/>
                <w:b/>
                <w:bCs/>
                <w:color w:val="000000"/>
              </w:rPr>
              <w:t> Of those with smoke alarm installed – Type of alarm installed</w:t>
            </w:r>
          </w:p>
        </w:tc>
      </w:tr>
      <w:tr w:rsidR="0067690C" w:rsidTr="00023227">
        <w:trPr>
          <w:gridAfter w:val="1"/>
          <w:wAfter w:w="7" w:type="dxa"/>
          <w:trHeight w:val="283"/>
        </w:trPr>
        <w:tc>
          <w:tcPr>
            <w:tcW w:w="3742"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Hard wired to the mains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54</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50</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58</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45</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Fitted with one year battery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54</w:t>
            </w:r>
          </w:p>
        </w:tc>
      </w:tr>
      <w:tr w:rsidR="0067690C" w:rsidTr="00023227">
        <w:trPr>
          <w:gridAfter w:val="1"/>
          <w:wAfter w:w="7" w:type="dxa"/>
          <w:trHeight w:val="283"/>
        </w:trPr>
        <w:tc>
          <w:tcPr>
            <w:tcW w:w="3742" w:type="dxa"/>
            <w:tcBorders>
              <w:top w:val="nil"/>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Fitted with ten year battery</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10</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w:t>
            </w:r>
          </w:p>
        </w:tc>
      </w:tr>
      <w:tr w:rsidR="0067690C" w:rsidTr="00023227">
        <w:trPr>
          <w:gridAfter w:val="1"/>
          <w:wAfter w:w="7" w:type="dxa"/>
          <w:trHeight w:val="283"/>
        </w:trPr>
        <w:tc>
          <w:tcPr>
            <w:tcW w:w="12713" w:type="dxa"/>
            <w:gridSpan w:val="15"/>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color w:val="000000"/>
                <w:sz w:val="22"/>
                <w:szCs w:val="22"/>
              </w:rPr>
            </w:pPr>
            <w:r>
              <w:rPr>
                <w:rFonts w:ascii="Calibri" w:hAnsi="Calibri" w:cs="Calibri"/>
                <w:b/>
                <w:bCs/>
                <w:color w:val="000000"/>
              </w:rPr>
              <w:t>Of those with smoke alarm installed – Frequency of testing</w:t>
            </w:r>
          </w:p>
        </w:tc>
      </w:tr>
      <w:tr w:rsidR="0067690C" w:rsidTr="00023227">
        <w:trPr>
          <w:gridAfter w:val="1"/>
          <w:wAfter w:w="7" w:type="dxa"/>
          <w:trHeight w:val="283"/>
        </w:trPr>
        <w:tc>
          <w:tcPr>
            <w:tcW w:w="3742"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Tested at least monthly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50</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50</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53</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48</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50</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51</w:t>
            </w:r>
          </w:p>
        </w:tc>
      </w:tr>
      <w:tr w:rsidR="0067690C" w:rsidTr="00023227">
        <w:trPr>
          <w:gridAfter w:val="1"/>
          <w:wAfter w:w="7" w:type="dxa"/>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24600E">
            <w:pPr>
              <w:jc w:val="left"/>
              <w:rPr>
                <w:rFonts w:ascii="Calibri" w:hAnsi="Calibri" w:cs="Calibri"/>
                <w:b/>
                <w:bCs/>
                <w:color w:val="000000"/>
              </w:rPr>
            </w:pPr>
            <w:r>
              <w:rPr>
                <w:rFonts w:ascii="Calibri" w:hAnsi="Calibri" w:cs="Calibri"/>
                <w:b/>
                <w:bCs/>
                <w:color w:val="000000"/>
              </w:rPr>
              <w:t>Tested less than monthly but at least yearly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32</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33</w:t>
            </w:r>
          </w:p>
        </w:tc>
      </w:tr>
      <w:tr w:rsidR="0067690C" w:rsidTr="00023227">
        <w:trPr>
          <w:gridAfter w:val="1"/>
          <w:wAfter w:w="7" w:type="dxa"/>
          <w:trHeight w:val="283"/>
        </w:trPr>
        <w:tc>
          <w:tcPr>
            <w:tcW w:w="3742"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Never tested</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19</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16</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17</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15</w:t>
            </w:r>
          </w:p>
        </w:tc>
      </w:tr>
    </w:tbl>
    <w:p w:rsidR="0067690C" w:rsidRDefault="0067690C" w:rsidP="00A5639D">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Type of Heating Installed – One Respondent per Household</w:t>
      </w:r>
    </w:p>
    <w:tbl>
      <w:tblPr>
        <w:tblW w:w="12720" w:type="dxa"/>
        <w:tblInd w:w="93" w:type="dxa"/>
        <w:tblLook w:val="04A0" w:firstRow="1" w:lastRow="0" w:firstColumn="1" w:lastColumn="0" w:noHBand="0" w:noVBand="1"/>
      </w:tblPr>
      <w:tblGrid>
        <w:gridCol w:w="3742"/>
        <w:gridCol w:w="713"/>
        <w:gridCol w:w="630"/>
        <w:gridCol w:w="553"/>
        <w:gridCol w:w="688"/>
        <w:gridCol w:w="881"/>
        <w:gridCol w:w="739"/>
        <w:gridCol w:w="880"/>
        <w:gridCol w:w="825"/>
        <w:gridCol w:w="7"/>
        <w:gridCol w:w="864"/>
        <w:gridCol w:w="440"/>
        <w:gridCol w:w="440"/>
        <w:gridCol w:w="440"/>
        <w:gridCol w:w="878"/>
      </w:tblGrid>
      <w:tr w:rsidR="0067690C" w:rsidRPr="00EB5B0E" w:rsidTr="004F1DAE">
        <w:trPr>
          <w:trHeight w:val="227"/>
        </w:trPr>
        <w:tc>
          <w:tcPr>
            <w:tcW w:w="3742"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BE1A84" w:rsidRDefault="0067690C"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1E81" w:rsidRDefault="0067690C"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5"/>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r>
      <w:tr w:rsidR="0067690C" w:rsidRPr="00462493" w:rsidTr="004F1DAE">
        <w:trPr>
          <w:trHeight w:val="540"/>
        </w:trPr>
        <w:tc>
          <w:tcPr>
            <w:tcW w:w="3742"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r>
      <w:tr w:rsidR="0067690C" w:rsidTr="00023227">
        <w:trPr>
          <w:trHeight w:val="283"/>
        </w:trPr>
        <w:tc>
          <w:tcPr>
            <w:tcW w:w="374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Carbon Monoxide alarm installed</w:t>
            </w:r>
          </w:p>
        </w:tc>
        <w:tc>
          <w:tcPr>
            <w:tcW w:w="7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c>
          <w:tcPr>
            <w:tcW w:w="63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31</w:t>
            </w:r>
          </w:p>
        </w:tc>
        <w:tc>
          <w:tcPr>
            <w:tcW w:w="553"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29</w:t>
            </w:r>
          </w:p>
        </w:tc>
        <w:tc>
          <w:tcPr>
            <w:tcW w:w="6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35</w:t>
            </w:r>
          </w:p>
        </w:tc>
        <w:tc>
          <w:tcPr>
            <w:tcW w:w="881"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29</w:t>
            </w:r>
          </w:p>
        </w:tc>
        <w:tc>
          <w:tcPr>
            <w:tcW w:w="739"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32</w:t>
            </w:r>
          </w:p>
        </w:tc>
        <w:tc>
          <w:tcPr>
            <w:tcW w:w="880" w:type="dxa"/>
            <w:tcBorders>
              <w:top w:val="single" w:sz="12" w:space="0" w:color="auto"/>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26</w:t>
            </w:r>
          </w:p>
        </w:tc>
        <w:tc>
          <w:tcPr>
            <w:tcW w:w="825" w:type="dxa"/>
            <w:tcBorders>
              <w:top w:val="single" w:sz="12" w:space="0" w:color="auto"/>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31</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30</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32</w:t>
            </w:r>
          </w:p>
        </w:tc>
        <w:tc>
          <w:tcPr>
            <w:tcW w:w="440" w:type="dxa"/>
            <w:tcBorders>
              <w:top w:val="single" w:sz="12" w:space="0" w:color="auto"/>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26</w:t>
            </w:r>
          </w:p>
        </w:tc>
        <w:tc>
          <w:tcPr>
            <w:tcW w:w="878" w:type="dxa"/>
            <w:tcBorders>
              <w:top w:val="single" w:sz="12" w:space="0" w:color="auto"/>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33</w:t>
            </w:r>
          </w:p>
        </w:tc>
      </w:tr>
      <w:tr w:rsidR="0067690C" w:rsidTr="00023227">
        <w:trPr>
          <w:trHeight w:val="283"/>
        </w:trPr>
        <w:tc>
          <w:tcPr>
            <w:tcW w:w="12720" w:type="dxa"/>
            <w:gridSpan w:val="15"/>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color w:val="000000"/>
                <w:sz w:val="22"/>
                <w:szCs w:val="22"/>
              </w:rPr>
            </w:pPr>
            <w:r>
              <w:rPr>
                <w:rFonts w:ascii="Calibri" w:hAnsi="Calibri" w:cs="Calibri"/>
                <w:b/>
                <w:bCs/>
                <w:color w:val="000000"/>
              </w:rPr>
              <w:t>Of those with carbon monoxide alarm installed – Frequency of testing</w:t>
            </w:r>
          </w:p>
        </w:tc>
      </w:tr>
      <w:tr w:rsidR="0067690C" w:rsidTr="00023227">
        <w:trPr>
          <w:trHeight w:val="283"/>
        </w:trPr>
        <w:tc>
          <w:tcPr>
            <w:tcW w:w="3742"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Tested at least monthly</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40</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47</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45</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48</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41</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39</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39</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48</w:t>
            </w:r>
          </w:p>
        </w:tc>
        <w:tc>
          <w:tcPr>
            <w:tcW w:w="878"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41</w:t>
            </w:r>
          </w:p>
        </w:tc>
      </w:tr>
      <w:tr w:rsidR="0067690C" w:rsidTr="00023227">
        <w:trPr>
          <w:trHeight w:val="283"/>
        </w:trPr>
        <w:tc>
          <w:tcPr>
            <w:tcW w:w="3742"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Tested less than monthly but at least yearly</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22</w:t>
            </w:r>
          </w:p>
        </w:tc>
        <w:tc>
          <w:tcPr>
            <w:tcW w:w="878"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27</w:t>
            </w:r>
          </w:p>
        </w:tc>
      </w:tr>
      <w:tr w:rsidR="0067690C" w:rsidTr="00023227">
        <w:trPr>
          <w:trHeight w:val="283"/>
        </w:trPr>
        <w:tc>
          <w:tcPr>
            <w:tcW w:w="3742"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Default="0067690C" w:rsidP="004F1DAE">
            <w:pPr>
              <w:rPr>
                <w:rFonts w:ascii="Calibri" w:hAnsi="Calibri" w:cs="Calibri"/>
                <w:b/>
                <w:bCs/>
                <w:color w:val="000000"/>
              </w:rPr>
            </w:pPr>
            <w:r>
              <w:rPr>
                <w:rFonts w:ascii="Calibri" w:hAnsi="Calibri" w:cs="Calibri"/>
                <w:b/>
                <w:bCs/>
                <w:color w:val="000000"/>
              </w:rPr>
              <w:t>Never tested</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25</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28</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24</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20</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21</w:t>
            </w:r>
          </w:p>
        </w:tc>
        <w:tc>
          <w:tcPr>
            <w:tcW w:w="878"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Default="0067690C" w:rsidP="004F1DAE">
            <w:pPr>
              <w:jc w:val="right"/>
              <w:rPr>
                <w:rFonts w:ascii="Calibri" w:hAnsi="Calibri" w:cs="Calibri"/>
                <w:color w:val="000000"/>
                <w:sz w:val="22"/>
                <w:szCs w:val="22"/>
              </w:rPr>
            </w:pPr>
            <w:r>
              <w:rPr>
                <w:rFonts w:ascii="Calibri" w:hAnsi="Calibri" w:cs="Calibri"/>
                <w:color w:val="000000"/>
                <w:sz w:val="22"/>
                <w:szCs w:val="22"/>
              </w:rPr>
              <w:t>23</w:t>
            </w:r>
          </w:p>
        </w:tc>
      </w:tr>
    </w:tbl>
    <w:p w:rsidR="00555E2B" w:rsidRDefault="00555E2B" w:rsidP="0067690C">
      <w:pPr>
        <w:tabs>
          <w:tab w:val="center" w:pos="4075"/>
        </w:tabs>
        <w:autoSpaceDE w:val="0"/>
        <w:autoSpaceDN w:val="0"/>
        <w:adjustRightInd w:val="0"/>
        <w:rPr>
          <w:rFonts w:asciiTheme="minorHAnsi" w:hAnsiTheme="minorHAnsi" w:cstheme="minorHAnsi"/>
          <w:b/>
          <w:sz w:val="22"/>
          <w:szCs w:val="22"/>
        </w:rPr>
      </w:pPr>
    </w:p>
    <w:p w:rsidR="0067690C" w:rsidRDefault="0067690C" w:rsidP="0067690C">
      <w:pPr>
        <w:tabs>
          <w:tab w:val="center" w:pos="4075"/>
        </w:tabs>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Ways to protect against Carbon Monoxide Poisoning – All Respondents</w:t>
      </w:r>
    </w:p>
    <w:tbl>
      <w:tblPr>
        <w:tblW w:w="15174" w:type="dxa"/>
        <w:tblLook w:val="04A0" w:firstRow="1" w:lastRow="0" w:firstColumn="1" w:lastColumn="0" w:noHBand="0" w:noVBand="1"/>
      </w:tblPr>
      <w:tblGrid>
        <w:gridCol w:w="1867"/>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67690C" w:rsidRPr="00EB5B0E" w:rsidTr="00023227">
        <w:trPr>
          <w:trHeight w:val="227"/>
        </w:trPr>
        <w:tc>
          <w:tcPr>
            <w:tcW w:w="1867"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BE1A84" w:rsidRDefault="0067690C" w:rsidP="004F1DAE">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3661" w:rsidRDefault="0067690C" w:rsidP="004F1DAE">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951E81" w:rsidRDefault="0067690C" w:rsidP="004F1DAE">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EB5B0E" w:rsidRDefault="0067690C" w:rsidP="004F1DAE">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67690C" w:rsidRPr="00EB5B0E" w:rsidRDefault="0067690C" w:rsidP="004F1DAE">
            <w:pPr>
              <w:jc w:val="center"/>
              <w:rPr>
                <w:rFonts w:ascii="Calibri" w:hAnsi="Calibri" w:cs="Calibri"/>
                <w:b/>
                <w:bCs/>
                <w:color w:val="000000"/>
                <w:lang w:eastAsia="en-GB"/>
              </w:rPr>
            </w:pPr>
            <w:r>
              <w:rPr>
                <w:rFonts w:ascii="Calibri" w:hAnsi="Calibri" w:cs="Calibri"/>
                <w:b/>
                <w:bCs/>
                <w:color w:val="000000"/>
                <w:lang w:eastAsia="en-GB"/>
              </w:rPr>
              <w:t>Age</w:t>
            </w:r>
          </w:p>
        </w:tc>
      </w:tr>
      <w:tr w:rsidR="0067690C" w:rsidRPr="00462493" w:rsidTr="00023227">
        <w:trPr>
          <w:trHeight w:val="540"/>
        </w:trPr>
        <w:tc>
          <w:tcPr>
            <w:tcW w:w="1867"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462493" w:rsidRDefault="0067690C" w:rsidP="004F1DAE">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67690C" w:rsidRDefault="0067690C" w:rsidP="004F1DAE">
            <w:pPr>
              <w:rPr>
                <w:rFonts w:ascii="Calibri" w:hAnsi="Calibri" w:cs="Calibri"/>
                <w:b/>
                <w:bCs/>
                <w:color w:val="000000"/>
              </w:rPr>
            </w:pPr>
            <w:r>
              <w:rPr>
                <w:rFonts w:ascii="Calibri" w:hAnsi="Calibri" w:cs="Calibri"/>
                <w:b/>
                <w:bCs/>
                <w:color w:val="000000"/>
              </w:rPr>
              <w:t>75+</w:t>
            </w:r>
          </w:p>
        </w:tc>
      </w:tr>
      <w:tr w:rsidR="0067690C" w:rsidTr="00023227">
        <w:trPr>
          <w:trHeight w:val="227"/>
        </w:trPr>
        <w:tc>
          <w:tcPr>
            <w:tcW w:w="1867"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Install a carbon monoxide alarm</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55</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57</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53</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45</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59</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55</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52</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66</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43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60</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56</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64</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64</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56</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49</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36</w:t>
            </w:r>
          </w:p>
        </w:tc>
      </w:tr>
      <w:tr w:rsidR="0067690C" w:rsidTr="00023227">
        <w:trPr>
          <w:trHeight w:val="227"/>
        </w:trPr>
        <w:tc>
          <w:tcPr>
            <w:tcW w:w="1867"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Regular servicing of heating systems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22</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r>
      <w:tr w:rsidR="0067690C" w:rsidTr="00023227">
        <w:trPr>
          <w:trHeight w:val="227"/>
        </w:trPr>
        <w:tc>
          <w:tcPr>
            <w:tcW w:w="1867"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 xml:space="preserve">Correct installation of heating systems </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15</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16</w:t>
            </w:r>
          </w:p>
        </w:tc>
      </w:tr>
      <w:tr w:rsidR="0067690C" w:rsidTr="00023227">
        <w:trPr>
          <w:trHeight w:val="227"/>
        </w:trPr>
        <w:tc>
          <w:tcPr>
            <w:tcW w:w="1867"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Regular cleaning of chimneys/flues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16</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r>
      <w:tr w:rsidR="0067690C" w:rsidTr="00023227">
        <w:trPr>
          <w:trHeight w:val="227"/>
        </w:trPr>
        <w:tc>
          <w:tcPr>
            <w:tcW w:w="1867"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 xml:space="preserve">Regularly test </w:t>
            </w:r>
            <w:r w:rsidR="003202D8" w:rsidRPr="00023227">
              <w:rPr>
                <w:rFonts w:ascii="Calibri" w:hAnsi="Calibri" w:cs="Calibri"/>
                <w:b/>
                <w:bCs/>
                <w:color w:val="000000"/>
                <w:sz w:val="19"/>
                <w:szCs w:val="19"/>
              </w:rPr>
              <w:t>CO</w:t>
            </w:r>
            <w:r w:rsidRPr="00023227">
              <w:rPr>
                <w:rFonts w:ascii="Calibri" w:hAnsi="Calibri" w:cs="Calibri"/>
                <w:b/>
                <w:bCs/>
                <w:color w:val="000000"/>
                <w:sz w:val="19"/>
                <w:szCs w:val="19"/>
              </w:rPr>
              <w:t xml:space="preserve"> alarm</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15</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r>
      <w:tr w:rsidR="0067690C" w:rsidTr="00023227">
        <w:trPr>
          <w:trHeight w:val="227"/>
        </w:trPr>
        <w:tc>
          <w:tcPr>
            <w:tcW w:w="1867"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Use an accredited</w:t>
            </w:r>
            <w:r w:rsidR="00556CB2" w:rsidRPr="00023227">
              <w:rPr>
                <w:rFonts w:ascii="Calibri" w:hAnsi="Calibri" w:cs="Calibri"/>
                <w:b/>
                <w:bCs/>
                <w:color w:val="000000"/>
                <w:sz w:val="19"/>
                <w:szCs w:val="19"/>
              </w:rPr>
              <w:t xml:space="preserve"> </w:t>
            </w:r>
            <w:r w:rsidRPr="00023227">
              <w:rPr>
                <w:rFonts w:ascii="Calibri" w:hAnsi="Calibri" w:cs="Calibri"/>
                <w:b/>
                <w:bCs/>
                <w:color w:val="000000"/>
                <w:sz w:val="19"/>
                <w:szCs w:val="19"/>
              </w:rPr>
              <w:t>/</w:t>
            </w:r>
            <w:r w:rsidR="00556CB2" w:rsidRPr="00023227">
              <w:rPr>
                <w:rFonts w:ascii="Calibri" w:hAnsi="Calibri" w:cs="Calibri"/>
                <w:b/>
                <w:bCs/>
                <w:color w:val="000000"/>
                <w:sz w:val="19"/>
                <w:szCs w:val="19"/>
              </w:rPr>
              <w:t xml:space="preserve"> </w:t>
            </w:r>
            <w:r w:rsidRPr="00023227">
              <w:rPr>
                <w:rFonts w:ascii="Calibri" w:hAnsi="Calibri" w:cs="Calibri"/>
                <w:b/>
                <w:bCs/>
                <w:color w:val="000000"/>
                <w:sz w:val="19"/>
                <w:szCs w:val="19"/>
              </w:rPr>
              <w:t>approved engineer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8</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5</w:t>
            </w:r>
          </w:p>
        </w:tc>
      </w:tr>
      <w:tr w:rsidR="0067690C" w:rsidTr="00023227">
        <w:trPr>
          <w:trHeight w:val="227"/>
        </w:trPr>
        <w:tc>
          <w:tcPr>
            <w:tcW w:w="1867"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67690C" w:rsidRPr="00023227" w:rsidRDefault="0067690C" w:rsidP="0024600E">
            <w:pPr>
              <w:jc w:val="left"/>
              <w:rPr>
                <w:rFonts w:ascii="Calibri" w:hAnsi="Calibri" w:cs="Calibri"/>
                <w:b/>
                <w:bCs/>
                <w:color w:val="000000"/>
                <w:sz w:val="19"/>
                <w:szCs w:val="19"/>
              </w:rPr>
            </w:pPr>
            <w:r w:rsidRPr="00023227">
              <w:rPr>
                <w:rFonts w:ascii="Calibri" w:hAnsi="Calibri" w:cs="Calibri"/>
                <w:b/>
                <w:bCs/>
                <w:color w:val="000000"/>
                <w:sz w:val="19"/>
                <w:szCs w:val="19"/>
              </w:rPr>
              <w:t>I do not know any ways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24</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26</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19</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28</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26</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21</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32</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26</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26</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17</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20</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27</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67690C" w:rsidRPr="00681CF2" w:rsidRDefault="0067690C" w:rsidP="004F1DAE">
            <w:pPr>
              <w:jc w:val="right"/>
              <w:rPr>
                <w:rFonts w:ascii="Calibri" w:hAnsi="Calibri" w:cs="Calibri"/>
                <w:color w:val="000000"/>
                <w:sz w:val="22"/>
                <w:szCs w:val="22"/>
              </w:rPr>
            </w:pPr>
            <w:r w:rsidRPr="00681CF2">
              <w:rPr>
                <w:rFonts w:ascii="Calibri" w:hAnsi="Calibri" w:cs="Calibri"/>
                <w:color w:val="000000"/>
                <w:sz w:val="22"/>
                <w:szCs w:val="22"/>
              </w:rPr>
              <w:t>43</w:t>
            </w:r>
          </w:p>
        </w:tc>
      </w:tr>
    </w:tbl>
    <w:p w:rsidR="00683904" w:rsidRPr="007B1099" w:rsidRDefault="0020699A" w:rsidP="007B1099">
      <w:pPr>
        <w:tabs>
          <w:tab w:val="center" w:pos="4075"/>
        </w:tabs>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 xml:space="preserve"> </w:t>
      </w:r>
      <w:r w:rsidR="0067690C">
        <w:rPr>
          <w:rFonts w:asciiTheme="minorHAnsi" w:hAnsiTheme="minorHAnsi" w:cstheme="minorHAnsi"/>
          <w:b/>
          <w:sz w:val="22"/>
          <w:szCs w:val="22"/>
        </w:rPr>
        <w:t>Symptoms of Carbon Monoxide Poisoning – All Respondents</w:t>
      </w:r>
    </w:p>
    <w:tbl>
      <w:tblPr>
        <w:tblpPr w:leftFromText="180" w:rightFromText="180" w:vertAnchor="text" w:horzAnchor="margin" w:tblpY="74"/>
        <w:tblW w:w="15172" w:type="dxa"/>
        <w:tblLook w:val="04A0" w:firstRow="1" w:lastRow="0" w:firstColumn="1" w:lastColumn="0" w:noHBand="0" w:noVBand="1"/>
      </w:tblPr>
      <w:tblGrid>
        <w:gridCol w:w="1865"/>
        <w:gridCol w:w="713"/>
        <w:gridCol w:w="538"/>
        <w:gridCol w:w="718"/>
        <w:gridCol w:w="630"/>
        <w:gridCol w:w="553"/>
        <w:gridCol w:w="688"/>
        <w:gridCol w:w="881"/>
        <w:gridCol w:w="739"/>
        <w:gridCol w:w="880"/>
        <w:gridCol w:w="825"/>
        <w:gridCol w:w="7"/>
        <w:gridCol w:w="864"/>
        <w:gridCol w:w="440"/>
        <w:gridCol w:w="440"/>
        <w:gridCol w:w="440"/>
        <w:gridCol w:w="871"/>
        <w:gridCol w:w="7"/>
        <w:gridCol w:w="433"/>
        <w:gridCol w:w="440"/>
        <w:gridCol w:w="440"/>
        <w:gridCol w:w="440"/>
        <w:gridCol w:w="440"/>
        <w:gridCol w:w="440"/>
        <w:gridCol w:w="440"/>
      </w:tblGrid>
      <w:tr w:rsidR="00023227" w:rsidRPr="00EB5B0E" w:rsidTr="00023227">
        <w:trPr>
          <w:trHeight w:val="227"/>
        </w:trPr>
        <w:tc>
          <w:tcPr>
            <w:tcW w:w="1865"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023227" w:rsidRPr="00BE1A84" w:rsidRDefault="00023227" w:rsidP="00023227">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953661" w:rsidRDefault="00023227" w:rsidP="00023227">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5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EB5B0E" w:rsidRDefault="00023227" w:rsidP="00023227">
            <w:pPr>
              <w:jc w:val="center"/>
              <w:rPr>
                <w:rFonts w:ascii="Calibri" w:hAnsi="Calibri" w:cs="Calibri"/>
                <w:b/>
                <w:bCs/>
                <w:color w:val="000000"/>
                <w:lang w:eastAsia="en-GB"/>
              </w:rPr>
            </w:pPr>
            <w:r w:rsidRPr="00EB5B0E">
              <w:rPr>
                <w:rFonts w:ascii="Calibri" w:hAnsi="Calibri" w:cs="Calibri"/>
                <w:b/>
                <w:bCs/>
                <w:color w:val="000000"/>
                <w:lang w:eastAsia="en-GB"/>
              </w:rPr>
              <w:t>Gender</w:t>
            </w:r>
          </w:p>
        </w:tc>
        <w:tc>
          <w:tcPr>
            <w:tcW w:w="118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951E81" w:rsidRDefault="00023227" w:rsidP="00023227">
            <w:pPr>
              <w:jc w:val="center"/>
              <w:rPr>
                <w:rFonts w:ascii="Calibri" w:hAnsi="Calibri" w:cs="Calibri"/>
                <w:b/>
                <w:bCs/>
                <w:color w:val="000000"/>
                <w:sz w:val="19"/>
                <w:szCs w:val="19"/>
                <w:lang w:eastAsia="en-GB"/>
              </w:rPr>
            </w:pPr>
            <w:r w:rsidRPr="00951E81">
              <w:rPr>
                <w:rFonts w:ascii="Calibri" w:hAnsi="Calibri" w:cs="Calibri"/>
                <w:b/>
                <w:bCs/>
                <w:color w:val="000000"/>
                <w:sz w:val="19"/>
                <w:szCs w:val="19"/>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EB5B0E" w:rsidRDefault="00023227" w:rsidP="00023227">
            <w:pPr>
              <w:jc w:val="center"/>
              <w:rPr>
                <w:rFonts w:ascii="Calibri" w:hAnsi="Calibri" w:cs="Calibri"/>
                <w:b/>
                <w:bCs/>
                <w:color w:val="000000"/>
                <w:lang w:eastAsia="en-GB"/>
              </w:rPr>
            </w:pPr>
            <w:r w:rsidRPr="00EB5B0E">
              <w:rPr>
                <w:rFonts w:ascii="Calibri" w:hAnsi="Calibri" w:cs="Calibri"/>
                <w:b/>
                <w:bCs/>
                <w:color w:val="000000"/>
                <w:lang w:eastAsia="en-GB"/>
              </w:rPr>
              <w:t>Trust</w:t>
            </w:r>
          </w:p>
        </w:tc>
        <w:tc>
          <w:tcPr>
            <w:tcW w:w="3062"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EB5B0E" w:rsidRDefault="00023227" w:rsidP="00023227">
            <w:pPr>
              <w:jc w:val="center"/>
              <w:rPr>
                <w:rFonts w:ascii="Calibri" w:hAnsi="Calibri" w:cs="Calibri"/>
                <w:b/>
                <w:bCs/>
                <w:color w:val="000000"/>
                <w:lang w:eastAsia="en-GB"/>
              </w:rPr>
            </w:pPr>
            <w:r w:rsidRPr="00EB5B0E">
              <w:rPr>
                <w:rFonts w:ascii="Calibri" w:hAnsi="Calibri" w:cs="Calibri"/>
                <w:b/>
                <w:bCs/>
                <w:color w:val="000000"/>
                <w:lang w:eastAsia="en-GB"/>
              </w:rPr>
              <w:t>Deprivation</w:t>
            </w:r>
          </w:p>
        </w:tc>
        <w:tc>
          <w:tcPr>
            <w:tcW w:w="3073"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023227" w:rsidRPr="00EB5B0E" w:rsidRDefault="00023227" w:rsidP="00023227">
            <w:pPr>
              <w:jc w:val="center"/>
              <w:rPr>
                <w:rFonts w:ascii="Calibri" w:hAnsi="Calibri" w:cs="Calibri"/>
                <w:b/>
                <w:bCs/>
                <w:color w:val="000000"/>
                <w:lang w:eastAsia="en-GB"/>
              </w:rPr>
            </w:pPr>
            <w:r>
              <w:rPr>
                <w:rFonts w:ascii="Calibri" w:hAnsi="Calibri" w:cs="Calibri"/>
                <w:b/>
                <w:bCs/>
                <w:color w:val="000000"/>
                <w:lang w:eastAsia="en-GB"/>
              </w:rPr>
              <w:t>Age</w:t>
            </w:r>
          </w:p>
        </w:tc>
      </w:tr>
      <w:tr w:rsidR="00023227" w:rsidRPr="00462493" w:rsidTr="00023227">
        <w:trPr>
          <w:trHeight w:val="540"/>
        </w:trPr>
        <w:tc>
          <w:tcPr>
            <w:tcW w:w="1865"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023227" w:rsidRPr="00462493" w:rsidRDefault="00023227" w:rsidP="00023227">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p>
        </w:tc>
        <w:tc>
          <w:tcPr>
            <w:tcW w:w="53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Urban</w:t>
            </w:r>
          </w:p>
        </w:tc>
        <w:tc>
          <w:tcPr>
            <w:tcW w:w="553"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Most Deprived</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Q2</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Q3</w:t>
            </w:r>
          </w:p>
        </w:tc>
        <w:tc>
          <w:tcPr>
            <w:tcW w:w="44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462493" w:rsidRDefault="00023227" w:rsidP="00023227">
            <w:pPr>
              <w:rPr>
                <w:rFonts w:ascii="Calibri" w:hAnsi="Calibri" w:cs="Calibri"/>
                <w:b/>
                <w:bCs/>
                <w:color w:val="000000"/>
                <w:lang w:eastAsia="en-GB"/>
              </w:rPr>
            </w:pPr>
            <w:r w:rsidRPr="00462493">
              <w:rPr>
                <w:rFonts w:ascii="Calibri" w:hAnsi="Calibri" w:cs="Calibri"/>
                <w:b/>
                <w:bCs/>
                <w:color w:val="000000"/>
                <w:lang w:eastAsia="en-GB"/>
              </w:rPr>
              <w:t>Least Deprived</w:t>
            </w:r>
          </w:p>
        </w:tc>
        <w:tc>
          <w:tcPr>
            <w:tcW w:w="440"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16-24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25-34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35-44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45-54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55-64</w:t>
            </w:r>
          </w:p>
        </w:tc>
        <w:tc>
          <w:tcPr>
            <w:tcW w:w="440"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65-74</w:t>
            </w:r>
          </w:p>
        </w:tc>
        <w:tc>
          <w:tcPr>
            <w:tcW w:w="440"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023227" w:rsidRDefault="00023227" w:rsidP="00023227">
            <w:pPr>
              <w:rPr>
                <w:rFonts w:ascii="Calibri" w:hAnsi="Calibri" w:cs="Calibri"/>
                <w:b/>
                <w:bCs/>
                <w:color w:val="000000"/>
              </w:rPr>
            </w:pPr>
            <w:r>
              <w:rPr>
                <w:rFonts w:ascii="Calibri" w:hAnsi="Calibri" w:cs="Calibri"/>
                <w:b/>
                <w:bCs/>
                <w:color w:val="000000"/>
              </w:rPr>
              <w:t>75+</w:t>
            </w:r>
          </w:p>
        </w:tc>
      </w:tr>
      <w:tr w:rsidR="00023227" w:rsidTr="00023227">
        <w:trPr>
          <w:trHeight w:val="227"/>
        </w:trPr>
        <w:tc>
          <w:tcPr>
            <w:tcW w:w="1865"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Drowsiness</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42</w:t>
            </w:r>
          </w:p>
        </w:tc>
        <w:tc>
          <w:tcPr>
            <w:tcW w:w="5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43</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42</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41</w:t>
            </w:r>
          </w:p>
        </w:tc>
        <w:tc>
          <w:tcPr>
            <w:tcW w:w="553"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45</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50</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45</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37</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44</w:t>
            </w:r>
          </w:p>
        </w:tc>
        <w:tc>
          <w:tcPr>
            <w:tcW w:w="440" w:type="dxa"/>
            <w:tcBorders>
              <w:top w:val="single" w:sz="12" w:space="0" w:color="auto"/>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49</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49</w:t>
            </w:r>
          </w:p>
        </w:tc>
        <w:tc>
          <w:tcPr>
            <w:tcW w:w="440" w:type="dxa"/>
            <w:gridSpan w:val="2"/>
            <w:tcBorders>
              <w:top w:val="single" w:sz="12" w:space="0" w:color="auto"/>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38</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45</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49</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47</w:t>
            </w:r>
          </w:p>
        </w:tc>
        <w:tc>
          <w:tcPr>
            <w:tcW w:w="44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41</w:t>
            </w:r>
          </w:p>
        </w:tc>
        <w:tc>
          <w:tcPr>
            <w:tcW w:w="440"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35</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Tiredness / Fatigue</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35</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Headaches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41</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23</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Nausea</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28</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30</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19</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Dizziness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26</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26</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26</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26</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Collapse / Unconsciousness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16</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14</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16</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23</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14</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Breathlessness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14</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11</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11</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11</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Vomiting</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6</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12</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6</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Flu-like symptoms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10</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8</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9</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7</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Visual problems</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6</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Erratic behaviour</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r>
      <w:tr w:rsidR="00023227" w:rsidTr="00023227">
        <w:trPr>
          <w:trHeight w:val="227"/>
        </w:trPr>
        <w:tc>
          <w:tcPr>
            <w:tcW w:w="1865"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Pains in the chest</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53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718"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553"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881"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739"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825" w:type="dxa"/>
            <w:tcBorders>
              <w:top w:val="nil"/>
              <w:left w:val="nil"/>
              <w:bottom w:val="single" w:sz="4"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5</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nil"/>
              <w:bottom w:val="single" w:sz="4"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71" w:type="dxa"/>
            <w:tcBorders>
              <w:top w:val="nil"/>
              <w:left w:val="nil"/>
              <w:bottom w:val="single" w:sz="4"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gridSpan w:val="2"/>
            <w:tcBorders>
              <w:top w:val="nil"/>
              <w:left w:val="nil"/>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4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single" w:sz="4" w:space="0" w:color="auto"/>
              <w:bottom w:val="single" w:sz="4"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r>
      <w:tr w:rsidR="00023227" w:rsidTr="00023227">
        <w:trPr>
          <w:trHeight w:val="227"/>
        </w:trPr>
        <w:tc>
          <w:tcPr>
            <w:tcW w:w="1865"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023227" w:rsidRPr="00023227" w:rsidRDefault="00023227" w:rsidP="0024600E">
            <w:pPr>
              <w:jc w:val="left"/>
              <w:rPr>
                <w:rFonts w:ascii="Calibri" w:hAnsi="Calibri" w:cs="Calibri"/>
                <w:b/>
                <w:bCs/>
                <w:color w:val="000000"/>
                <w:sz w:val="19"/>
                <w:szCs w:val="19"/>
              </w:rPr>
            </w:pPr>
            <w:r w:rsidRPr="00023227">
              <w:rPr>
                <w:rFonts w:ascii="Calibri" w:hAnsi="Calibri" w:cs="Calibri"/>
                <w:b/>
                <w:bCs/>
                <w:color w:val="000000"/>
                <w:sz w:val="19"/>
                <w:szCs w:val="19"/>
              </w:rPr>
              <w:t>Stomach pains</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53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718" w:type="dxa"/>
            <w:tcBorders>
              <w:top w:val="nil"/>
              <w:left w:val="nil"/>
              <w:bottom w:val="single" w:sz="12"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553" w:type="dxa"/>
            <w:tcBorders>
              <w:top w:val="nil"/>
              <w:left w:val="nil"/>
              <w:bottom w:val="single" w:sz="12"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81" w:type="dxa"/>
            <w:tcBorders>
              <w:top w:val="nil"/>
              <w:left w:val="nil"/>
              <w:bottom w:val="single" w:sz="12"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739" w:type="dxa"/>
            <w:tcBorders>
              <w:top w:val="nil"/>
              <w:left w:val="nil"/>
              <w:bottom w:val="single" w:sz="12"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4</w:t>
            </w:r>
          </w:p>
        </w:tc>
        <w:tc>
          <w:tcPr>
            <w:tcW w:w="880" w:type="dxa"/>
            <w:tcBorders>
              <w:top w:val="nil"/>
              <w:left w:val="nil"/>
              <w:bottom w:val="single" w:sz="12" w:space="0" w:color="auto"/>
              <w:right w:val="single" w:sz="4"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25" w:type="dxa"/>
            <w:tcBorders>
              <w:top w:val="nil"/>
              <w:left w:val="nil"/>
              <w:bottom w:val="single" w:sz="12" w:space="0" w:color="auto"/>
              <w:right w:val="single" w:sz="12" w:space="0" w:color="auto"/>
            </w:tcBorders>
            <w:shd w:val="clear" w:color="auto" w:fill="D9D9D9" w:themeFill="background1" w:themeFillShade="D9"/>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0</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440" w:type="dxa"/>
            <w:tcBorders>
              <w:top w:val="nil"/>
              <w:left w:val="nil"/>
              <w:bottom w:val="single" w:sz="12" w:space="0" w:color="auto"/>
              <w:right w:val="single" w:sz="4"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871" w:type="dxa"/>
            <w:tcBorders>
              <w:top w:val="nil"/>
              <w:left w:val="nil"/>
              <w:bottom w:val="single" w:sz="12" w:space="0" w:color="auto"/>
              <w:right w:val="single" w:sz="12" w:space="0" w:color="auto"/>
            </w:tcBorders>
            <w:shd w:val="clear" w:color="auto" w:fill="F2F2F2" w:themeFill="background1" w:themeFillShade="F2"/>
            <w:noWrap/>
            <w:vAlign w:val="bottom"/>
            <w:hideMark/>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gridSpan w:val="2"/>
            <w:tcBorders>
              <w:top w:val="nil"/>
              <w:left w:val="nil"/>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3</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c>
          <w:tcPr>
            <w:tcW w:w="440" w:type="dxa"/>
            <w:tcBorders>
              <w:top w:val="nil"/>
              <w:left w:val="single" w:sz="4" w:space="0" w:color="auto"/>
              <w:bottom w:val="single" w:sz="12" w:space="0" w:color="auto"/>
              <w:right w:val="single" w:sz="4"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1</w:t>
            </w:r>
          </w:p>
        </w:tc>
        <w:tc>
          <w:tcPr>
            <w:tcW w:w="440" w:type="dxa"/>
            <w:tcBorders>
              <w:top w:val="nil"/>
              <w:left w:val="single" w:sz="4" w:space="0" w:color="auto"/>
              <w:bottom w:val="single" w:sz="12" w:space="0" w:color="auto"/>
              <w:right w:val="single" w:sz="12" w:space="0" w:color="auto"/>
            </w:tcBorders>
            <w:shd w:val="clear" w:color="auto" w:fill="D9D9D9" w:themeFill="background1" w:themeFillShade="D9"/>
            <w:vAlign w:val="bottom"/>
          </w:tcPr>
          <w:p w:rsidR="00023227" w:rsidRPr="00023227" w:rsidRDefault="00023227" w:rsidP="00023227">
            <w:pPr>
              <w:jc w:val="right"/>
              <w:rPr>
                <w:rFonts w:ascii="Calibri" w:hAnsi="Calibri" w:cs="Calibri"/>
                <w:color w:val="000000"/>
                <w:sz w:val="21"/>
                <w:szCs w:val="21"/>
              </w:rPr>
            </w:pPr>
            <w:r w:rsidRPr="00023227">
              <w:rPr>
                <w:rFonts w:ascii="Calibri" w:hAnsi="Calibri" w:cs="Calibri"/>
                <w:color w:val="000000"/>
                <w:sz w:val="21"/>
                <w:szCs w:val="21"/>
              </w:rPr>
              <w:t>2</w:t>
            </w:r>
          </w:p>
        </w:tc>
      </w:tr>
    </w:tbl>
    <w:p w:rsidR="007B1099" w:rsidRDefault="007B1099" w:rsidP="00AD4B06">
      <w:pPr>
        <w:tabs>
          <w:tab w:val="center" w:pos="4075"/>
        </w:tabs>
        <w:autoSpaceDE w:val="0"/>
        <w:autoSpaceDN w:val="0"/>
        <w:adjustRightInd w:val="0"/>
        <w:rPr>
          <w:rFonts w:asciiTheme="minorHAnsi" w:hAnsiTheme="minorHAnsi" w:cstheme="minorHAnsi"/>
          <w:b/>
          <w:sz w:val="16"/>
          <w:szCs w:val="16"/>
        </w:rPr>
      </w:pPr>
    </w:p>
    <w:p w:rsidR="003202D8" w:rsidRDefault="003202D8" w:rsidP="00AD4B06">
      <w:pPr>
        <w:tabs>
          <w:tab w:val="center" w:pos="4075"/>
        </w:tabs>
        <w:autoSpaceDE w:val="0"/>
        <w:autoSpaceDN w:val="0"/>
        <w:adjustRightInd w:val="0"/>
        <w:rPr>
          <w:rFonts w:asciiTheme="minorHAnsi" w:hAnsiTheme="minorHAnsi" w:cstheme="minorHAnsi"/>
          <w:b/>
          <w:sz w:val="16"/>
          <w:szCs w:val="16"/>
        </w:rPr>
        <w:sectPr w:rsidR="003202D8" w:rsidSect="00D50770">
          <w:footerReference w:type="default" r:id="rId114"/>
          <w:pgSz w:w="16838" w:h="11906" w:orient="landscape"/>
          <w:pgMar w:top="737" w:right="964" w:bottom="737" w:left="964" w:header="709" w:footer="709" w:gutter="0"/>
          <w:pgNumType w:start="56"/>
          <w:cols w:space="454"/>
          <w:docGrid w:linePitch="360"/>
        </w:sectPr>
      </w:pPr>
    </w:p>
    <w:p w:rsidR="003202D8" w:rsidRPr="00AD4073" w:rsidRDefault="003202D8" w:rsidP="00364AA3">
      <w:pPr>
        <w:pStyle w:val="Heading3"/>
        <w:spacing w:before="0"/>
        <w:rPr>
          <w:rFonts w:asciiTheme="minorHAnsi" w:hAnsiTheme="minorHAnsi" w:cstheme="minorHAnsi"/>
          <w:sz w:val="24"/>
          <w:szCs w:val="24"/>
        </w:rPr>
      </w:pPr>
      <w:bookmarkStart w:id="88" w:name="_Ref381946823"/>
      <w:r w:rsidRPr="00AD4073">
        <w:rPr>
          <w:rFonts w:asciiTheme="minorHAnsi" w:hAnsiTheme="minorHAnsi" w:cstheme="minorHAnsi"/>
          <w:sz w:val="24"/>
          <w:szCs w:val="24"/>
        </w:rPr>
        <w:t>Methodology</w:t>
      </w:r>
      <w:bookmarkEnd w:id="88"/>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color w:val="000000" w:themeColor="text1"/>
          <w:sz w:val="22"/>
          <w:szCs w:val="22"/>
        </w:rPr>
        <w:t>This report presents the results from the 2012/13 Health Survey Northern Ireland.  This is a continuous survey which runs annually covering a range of health topics.</w:t>
      </w:r>
    </w:p>
    <w:p w:rsidR="003202D8" w:rsidRPr="00A077BA" w:rsidRDefault="003202D8" w:rsidP="00AD4073">
      <w:pPr>
        <w:tabs>
          <w:tab w:val="left" w:pos="-180"/>
        </w:tabs>
        <w:suppressAutoHyphens/>
        <w:spacing w:after="6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Fieldwork</w:t>
      </w:r>
      <w:r w:rsidR="00AD4073">
        <w:rPr>
          <w:rFonts w:asciiTheme="minorHAnsi" w:hAnsiTheme="minorHAnsi" w:cstheme="minorHAnsi"/>
          <w:b/>
          <w:color w:val="4F81BD" w:themeColor="accent1"/>
          <w:sz w:val="22"/>
          <w:szCs w:val="22"/>
        </w:rPr>
        <w:t xml:space="preserve"> – </w:t>
      </w:r>
      <w:r w:rsidRPr="00A077BA">
        <w:rPr>
          <w:rFonts w:asciiTheme="minorHAnsi" w:hAnsiTheme="minorHAnsi" w:cstheme="minorHAnsi"/>
          <w:color w:val="000000" w:themeColor="text1"/>
          <w:sz w:val="22"/>
          <w:szCs w:val="22"/>
        </w:rPr>
        <w:t>The fieldwork for the survey was conducted by the Central Survey Unit of Northern Ireland Statistics and Research Agency (NISRA) and cover</w:t>
      </w:r>
      <w:r w:rsidR="00AD4073">
        <w:rPr>
          <w:rFonts w:asciiTheme="minorHAnsi" w:hAnsiTheme="minorHAnsi" w:cstheme="minorHAnsi"/>
          <w:color w:val="000000" w:themeColor="text1"/>
          <w:sz w:val="22"/>
          <w:szCs w:val="22"/>
        </w:rPr>
        <w:t>s</w:t>
      </w:r>
      <w:r w:rsidRPr="00A077BA">
        <w:rPr>
          <w:rFonts w:asciiTheme="minorHAnsi" w:hAnsiTheme="minorHAnsi" w:cstheme="minorHAnsi"/>
          <w:color w:val="000000" w:themeColor="text1"/>
          <w:sz w:val="22"/>
          <w:szCs w:val="22"/>
        </w:rPr>
        <w:t xml:space="preserve"> the period April 2012 to March 2013.</w:t>
      </w:r>
    </w:p>
    <w:p w:rsidR="003202D8" w:rsidRPr="00A077BA" w:rsidRDefault="003202D8" w:rsidP="00AD4073">
      <w:pPr>
        <w:tabs>
          <w:tab w:val="left" w:pos="-180"/>
        </w:tabs>
        <w:suppressAutoHyphens/>
        <w:spacing w:after="60"/>
        <w:rPr>
          <w:rFonts w:asciiTheme="minorHAnsi" w:hAnsiTheme="minorHAnsi" w:cstheme="minorHAnsi"/>
          <w:color w:val="000000" w:themeColor="text1"/>
          <w:sz w:val="22"/>
          <w:szCs w:val="22"/>
        </w:rPr>
      </w:pPr>
      <w:r w:rsidRPr="00A077BA">
        <w:rPr>
          <w:rFonts w:asciiTheme="minorHAnsi" w:hAnsiTheme="minorHAnsi" w:cstheme="minorHAnsi"/>
          <w:color w:val="000000" w:themeColor="text1"/>
          <w:sz w:val="22"/>
          <w:szCs w:val="22"/>
        </w:rPr>
        <w:t>Data were collected using Computer Assisted Personal Interviewing (CAPI) and where appropriate Computer Assisted Self Interviewing (CASI) from those aged 16 and above in private households in Northern Ireland.</w:t>
      </w:r>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color w:val="000000" w:themeColor="text1"/>
          <w:sz w:val="22"/>
          <w:szCs w:val="22"/>
        </w:rPr>
        <w:t>A random sample of 5,850 addresses across Northern Ireland was selected for interviewing.  The final achieved sample was 4,294 individuals.  The response rate for the survey was 65%.</w:t>
      </w:r>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Weighting</w:t>
      </w:r>
      <w:r w:rsidR="00AD4073">
        <w:rPr>
          <w:rFonts w:asciiTheme="minorHAnsi" w:hAnsiTheme="minorHAnsi" w:cstheme="minorHAnsi"/>
          <w:b/>
          <w:color w:val="4F81BD" w:themeColor="accent1"/>
          <w:sz w:val="22"/>
          <w:szCs w:val="22"/>
        </w:rPr>
        <w:t xml:space="preserve"> – </w:t>
      </w:r>
      <w:r w:rsidR="00AD4073" w:rsidRPr="00AD4073">
        <w:rPr>
          <w:rFonts w:asciiTheme="minorHAnsi" w:hAnsiTheme="minorHAnsi" w:cstheme="minorHAnsi"/>
          <w:sz w:val="22"/>
          <w:szCs w:val="22"/>
        </w:rPr>
        <w:t>T</w:t>
      </w:r>
      <w:r w:rsidRPr="00A077BA">
        <w:rPr>
          <w:rFonts w:asciiTheme="minorHAnsi" w:hAnsiTheme="minorHAnsi" w:cstheme="minorHAnsi"/>
          <w:color w:val="000000" w:themeColor="text1"/>
          <w:sz w:val="22"/>
          <w:szCs w:val="22"/>
        </w:rPr>
        <w:t>he results presented in this bulletin are based on information that has been weighted by age and sex, in order to reflect the composition of the general population in Northern Ireland.</w:t>
      </w:r>
    </w:p>
    <w:p w:rsidR="00AD4073" w:rsidRPr="00A077BA" w:rsidRDefault="00AD4073"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Results</w:t>
      </w:r>
      <w:r>
        <w:rPr>
          <w:rFonts w:asciiTheme="minorHAnsi" w:hAnsiTheme="minorHAnsi" w:cstheme="minorHAnsi"/>
          <w:b/>
          <w:color w:val="4F81BD" w:themeColor="accent1"/>
          <w:sz w:val="22"/>
          <w:szCs w:val="22"/>
        </w:rPr>
        <w:t xml:space="preserve"> – </w:t>
      </w:r>
      <w:r w:rsidRPr="00A077BA">
        <w:rPr>
          <w:rFonts w:asciiTheme="minorHAnsi" w:hAnsiTheme="minorHAnsi" w:cstheme="minorHAnsi"/>
          <w:color w:val="000000" w:themeColor="text1"/>
          <w:sz w:val="22"/>
          <w:szCs w:val="22"/>
        </w:rPr>
        <w:t>Unless otherwise specified, results relate to adults aged 16 and over.</w:t>
      </w:r>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Percentages</w:t>
      </w:r>
      <w:r w:rsidR="00AD4073">
        <w:rPr>
          <w:rFonts w:asciiTheme="minorHAnsi" w:hAnsiTheme="minorHAnsi" w:cstheme="minorHAnsi"/>
          <w:b/>
          <w:color w:val="4F81BD" w:themeColor="accent1"/>
          <w:sz w:val="22"/>
          <w:szCs w:val="22"/>
        </w:rPr>
        <w:t xml:space="preserve"> – </w:t>
      </w:r>
      <w:r w:rsidRPr="00A077BA">
        <w:rPr>
          <w:rFonts w:asciiTheme="minorHAnsi" w:hAnsiTheme="minorHAnsi" w:cstheme="minorHAnsi"/>
          <w:color w:val="000000" w:themeColor="text1"/>
          <w:sz w:val="22"/>
          <w:szCs w:val="22"/>
        </w:rPr>
        <w:t>Percentages may not always sum to 100 due to the effect of rounding or where respondents could give more than one answer.</w:t>
      </w:r>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Sampling error</w:t>
      </w:r>
      <w:r w:rsidR="00AD4073">
        <w:rPr>
          <w:rFonts w:asciiTheme="minorHAnsi" w:hAnsiTheme="minorHAnsi" w:cstheme="minorHAnsi"/>
          <w:b/>
          <w:color w:val="4F81BD" w:themeColor="accent1"/>
          <w:sz w:val="22"/>
          <w:szCs w:val="22"/>
        </w:rPr>
        <w:t xml:space="preserve"> – </w:t>
      </w:r>
      <w:r w:rsidRPr="00A077BA">
        <w:rPr>
          <w:rFonts w:asciiTheme="minorHAnsi" w:hAnsiTheme="minorHAnsi" w:cstheme="minorHAnsi"/>
          <w:color w:val="000000" w:themeColor="text1"/>
          <w:sz w:val="22"/>
          <w:szCs w:val="22"/>
        </w:rPr>
        <w:t>As the results are based on data collected from a sample of the population, they are subject to sampling error.  This should be taken into consideration when comparing results.</w:t>
      </w:r>
      <w:r w:rsidR="002C170D" w:rsidRPr="00A077BA">
        <w:rPr>
          <w:rFonts w:asciiTheme="minorHAnsi" w:hAnsiTheme="minorHAnsi" w:cstheme="minorHAnsi"/>
          <w:color w:val="000000" w:themeColor="text1"/>
          <w:sz w:val="22"/>
          <w:szCs w:val="22"/>
        </w:rPr>
        <w:t xml:space="preserve">   The table below sets out broadly the number of respondents that answered each topic area.  This will allow the calculation of confidence intervals around estimates to check whether differences are statistically significant or not.</w:t>
      </w:r>
    </w:p>
    <w:p w:rsidR="003202D8" w:rsidRPr="00A077BA" w:rsidRDefault="003202D8" w:rsidP="00AD4073">
      <w:pPr>
        <w:tabs>
          <w:tab w:val="left" w:pos="-180"/>
        </w:tabs>
        <w:suppressAutoHyphens/>
        <w:spacing w:after="120"/>
        <w:rPr>
          <w:rFonts w:asciiTheme="minorHAnsi" w:hAnsiTheme="minorHAnsi" w:cstheme="minorHAnsi"/>
          <w:color w:val="000000" w:themeColor="text1"/>
          <w:sz w:val="22"/>
          <w:szCs w:val="22"/>
        </w:rPr>
      </w:pPr>
      <w:r w:rsidRPr="00A077BA">
        <w:rPr>
          <w:rFonts w:asciiTheme="minorHAnsi" w:hAnsiTheme="minorHAnsi" w:cstheme="minorHAnsi"/>
          <w:b/>
          <w:color w:val="4F81BD" w:themeColor="accent1"/>
          <w:sz w:val="22"/>
          <w:szCs w:val="22"/>
        </w:rPr>
        <w:t xml:space="preserve">Deprivation </w:t>
      </w:r>
      <w:r w:rsidR="00AD4073">
        <w:rPr>
          <w:rFonts w:asciiTheme="minorHAnsi" w:hAnsiTheme="minorHAnsi" w:cstheme="minorHAnsi"/>
          <w:b/>
          <w:color w:val="4F81BD" w:themeColor="accent1"/>
          <w:sz w:val="22"/>
          <w:szCs w:val="22"/>
        </w:rPr>
        <w:t xml:space="preserve">– </w:t>
      </w:r>
      <w:r w:rsidR="00AD4073">
        <w:rPr>
          <w:rFonts w:asciiTheme="minorHAnsi" w:hAnsiTheme="minorHAnsi" w:cstheme="minorHAnsi"/>
          <w:color w:val="000000" w:themeColor="text1"/>
          <w:sz w:val="22"/>
          <w:szCs w:val="22"/>
        </w:rPr>
        <w:t>Th</w:t>
      </w:r>
      <w:r w:rsidRPr="00A077BA">
        <w:rPr>
          <w:rFonts w:asciiTheme="minorHAnsi" w:hAnsiTheme="minorHAnsi" w:cstheme="minorHAnsi"/>
          <w:color w:val="000000" w:themeColor="text1"/>
          <w:sz w:val="22"/>
          <w:szCs w:val="22"/>
        </w:rPr>
        <w:t xml:space="preserve">e Northern Ireland Multiple Deprivation Measure 2010 (NIMDM) was used a measure of deprivation.  The NIMDM 2010 is the official measure of spatial deprivation in Northern Ireland.  </w:t>
      </w:r>
    </w:p>
    <w:p w:rsidR="00AD4073" w:rsidRPr="00BF15D9" w:rsidRDefault="00110DF7" w:rsidP="00BF15D9">
      <w:pPr>
        <w:tabs>
          <w:tab w:val="left" w:pos="-180"/>
        </w:tabs>
        <w:suppressAutoHyphens/>
        <w:jc w:val="left"/>
        <w:rPr>
          <w:rFonts w:asciiTheme="minorHAnsi" w:hAnsiTheme="minorHAnsi" w:cstheme="minorHAnsi"/>
          <w:color w:val="000000" w:themeColor="text1"/>
          <w:sz w:val="22"/>
          <w:szCs w:val="22"/>
        </w:rPr>
        <w:sectPr w:rsidR="00AD4073" w:rsidRPr="00BF15D9" w:rsidSect="00555E2B">
          <w:footerReference w:type="default" r:id="rId115"/>
          <w:type w:val="continuous"/>
          <w:pgSz w:w="16838" w:h="11906" w:orient="landscape"/>
          <w:pgMar w:top="737" w:right="851" w:bottom="737" w:left="851" w:header="709" w:footer="709" w:gutter="0"/>
          <w:cols w:num="2" w:space="454"/>
          <w:docGrid w:linePitch="360"/>
        </w:sectPr>
      </w:pPr>
      <w:r w:rsidRPr="00A077BA">
        <w:rPr>
          <w:rFonts w:asciiTheme="minorHAnsi" w:hAnsiTheme="minorHAnsi" w:cstheme="minorHAnsi"/>
          <w:b/>
          <w:color w:val="4F81BD" w:themeColor="accent1"/>
          <w:sz w:val="22"/>
          <w:szCs w:val="22"/>
        </w:rPr>
        <w:t>Rurali</w:t>
      </w:r>
      <w:r w:rsidR="002C170D" w:rsidRPr="00A077BA">
        <w:rPr>
          <w:rFonts w:asciiTheme="minorHAnsi" w:hAnsiTheme="minorHAnsi" w:cstheme="minorHAnsi"/>
          <w:b/>
          <w:color w:val="4F81BD" w:themeColor="accent1"/>
          <w:sz w:val="22"/>
          <w:szCs w:val="22"/>
        </w:rPr>
        <w:t xml:space="preserve">ty </w:t>
      </w:r>
      <w:r w:rsidR="00AD4073">
        <w:rPr>
          <w:rFonts w:asciiTheme="minorHAnsi" w:hAnsiTheme="minorHAnsi" w:cstheme="minorHAnsi"/>
          <w:b/>
          <w:color w:val="4F81BD" w:themeColor="accent1"/>
          <w:sz w:val="22"/>
          <w:szCs w:val="22"/>
        </w:rPr>
        <w:t xml:space="preserve">– </w:t>
      </w:r>
      <w:r w:rsidR="002C170D" w:rsidRPr="00A077BA">
        <w:rPr>
          <w:rFonts w:asciiTheme="minorHAnsi" w:hAnsiTheme="minorHAnsi" w:cstheme="minorHAnsi"/>
          <w:color w:val="000000" w:themeColor="text1"/>
          <w:sz w:val="22"/>
          <w:szCs w:val="22"/>
        </w:rPr>
        <w:t xml:space="preserve">The definition of urban and rural areas used throughout this report is consistent with that outlined in the ‘Report of the </w:t>
      </w:r>
      <w:r w:rsidRPr="00A077BA">
        <w:rPr>
          <w:rFonts w:asciiTheme="minorHAnsi" w:hAnsiTheme="minorHAnsi" w:cstheme="minorHAnsi"/>
          <w:color w:val="000000" w:themeColor="text1"/>
          <w:sz w:val="22"/>
          <w:szCs w:val="22"/>
        </w:rPr>
        <w:t>Inter-Departmental Urban-Rural definition group’ (NISRA 2005</w:t>
      </w:r>
      <w:r w:rsidR="00F3746F">
        <w:rPr>
          <w:rFonts w:asciiTheme="minorHAnsi" w:hAnsiTheme="minorHAnsi" w:cstheme="minorHAnsi"/>
          <w:color w:val="000000" w:themeColor="text1"/>
          <w:sz w:val="22"/>
          <w:szCs w:val="22"/>
        </w:rPr>
        <w:t>).</w:t>
      </w:r>
    </w:p>
    <w:p w:rsidR="00AD4073" w:rsidRDefault="003A44C7" w:rsidP="00AD4073">
      <w:pPr>
        <w:spacing w:before="60"/>
        <w:jc w:val="left"/>
        <w:rPr>
          <w:rFonts w:asciiTheme="minorHAnsi" w:hAnsiTheme="minorHAnsi" w:cstheme="minorHAnsi"/>
          <w:b/>
          <w:sz w:val="22"/>
          <w:szCs w:val="22"/>
          <w:vertAlign w:val="superscript"/>
        </w:rPr>
        <w:sectPr w:rsidR="00AD4073" w:rsidSect="00AD4073">
          <w:type w:val="continuous"/>
          <w:pgSz w:w="16838" w:h="11906" w:orient="landscape"/>
          <w:pgMar w:top="737" w:right="851" w:bottom="737" w:left="851" w:header="709" w:footer="709" w:gutter="0"/>
          <w:cols w:space="454"/>
          <w:docGrid w:linePitch="360"/>
        </w:sectPr>
      </w:pPr>
      <w:r w:rsidRPr="003A44C7">
        <w:rPr>
          <w:rFonts w:asciiTheme="minorHAnsi" w:hAnsiTheme="minorHAnsi" w:cstheme="minorHAnsi"/>
          <w:b/>
          <w:sz w:val="22"/>
          <w:szCs w:val="22"/>
        </w:rPr>
        <w:t>Weighted Base Numbers</w:t>
      </w:r>
      <w:r w:rsidRPr="003A44C7">
        <w:rPr>
          <w:rFonts w:asciiTheme="minorHAnsi" w:hAnsiTheme="minorHAnsi" w:cstheme="minorHAnsi"/>
          <w:b/>
          <w:sz w:val="22"/>
          <w:szCs w:val="22"/>
          <w:vertAlign w:val="superscript"/>
        </w:rPr>
        <w:t>1</w:t>
      </w:r>
    </w:p>
    <w:tbl>
      <w:tblPr>
        <w:tblpPr w:leftFromText="180" w:rightFromText="180" w:vertAnchor="text" w:horzAnchor="margin" w:tblpY="66"/>
        <w:tblW w:w="15526" w:type="dxa"/>
        <w:tblLook w:val="04A0" w:firstRow="1" w:lastRow="0" w:firstColumn="1" w:lastColumn="0" w:noHBand="0" w:noVBand="1"/>
      </w:tblPr>
      <w:tblGrid>
        <w:gridCol w:w="2098"/>
        <w:gridCol w:w="713"/>
        <w:gridCol w:w="561"/>
        <w:gridCol w:w="718"/>
        <w:gridCol w:w="630"/>
        <w:gridCol w:w="561"/>
        <w:gridCol w:w="688"/>
        <w:gridCol w:w="881"/>
        <w:gridCol w:w="739"/>
        <w:gridCol w:w="880"/>
        <w:gridCol w:w="825"/>
        <w:gridCol w:w="7"/>
        <w:gridCol w:w="864"/>
        <w:gridCol w:w="449"/>
        <w:gridCol w:w="449"/>
        <w:gridCol w:w="449"/>
        <w:gridCol w:w="871"/>
        <w:gridCol w:w="8"/>
        <w:gridCol w:w="441"/>
        <w:gridCol w:w="449"/>
        <w:gridCol w:w="449"/>
        <w:gridCol w:w="449"/>
        <w:gridCol w:w="449"/>
        <w:gridCol w:w="449"/>
        <w:gridCol w:w="449"/>
      </w:tblGrid>
      <w:tr w:rsidR="00AD4073" w:rsidRPr="00EB5B0E" w:rsidTr="00AD4073">
        <w:trPr>
          <w:trHeight w:val="227"/>
        </w:trPr>
        <w:tc>
          <w:tcPr>
            <w:tcW w:w="2098" w:type="dxa"/>
            <w:vMerge w:val="restart"/>
            <w:tcBorders>
              <w:top w:val="single" w:sz="12" w:space="0" w:color="auto"/>
              <w:left w:val="single" w:sz="12" w:space="0" w:color="auto"/>
              <w:right w:val="single" w:sz="12" w:space="0" w:color="auto"/>
            </w:tcBorders>
            <w:shd w:val="clear" w:color="auto" w:fill="A6A6A6" w:themeFill="background1" w:themeFillShade="A6"/>
            <w:noWrap/>
            <w:tcMar>
              <w:left w:w="57" w:type="dxa"/>
              <w:right w:w="57" w:type="dxa"/>
            </w:tcMar>
            <w:vAlign w:val="bottom"/>
            <w:hideMark/>
          </w:tcPr>
          <w:p w:rsidR="00AD4073" w:rsidRPr="00BE1A84" w:rsidRDefault="00AD4073" w:rsidP="00AD4073">
            <w:pPr>
              <w:rPr>
                <w:rFonts w:ascii="Calibri" w:hAnsi="Calibri" w:cs="Calibri"/>
                <w:b/>
                <w:bCs/>
                <w:color w:val="000000"/>
                <w:lang w:eastAsia="en-GB"/>
              </w:rPr>
            </w:pPr>
          </w:p>
        </w:tc>
        <w:tc>
          <w:tcPr>
            <w:tcW w:w="713" w:type="dxa"/>
            <w:vMerge w:val="restart"/>
            <w:tcBorders>
              <w:top w:val="single" w:sz="12" w:space="0" w:color="auto"/>
              <w:left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953661" w:rsidRDefault="00AD4073" w:rsidP="00AD4073">
            <w:pPr>
              <w:rPr>
                <w:rFonts w:ascii="Calibri" w:hAnsi="Calibri" w:cs="Calibri"/>
                <w:b/>
                <w:bCs/>
                <w:color w:val="000000"/>
                <w:sz w:val="22"/>
                <w:szCs w:val="22"/>
                <w:lang w:eastAsia="en-GB"/>
              </w:rPr>
            </w:pPr>
            <w:r w:rsidRPr="00462493">
              <w:rPr>
                <w:rFonts w:ascii="Calibri" w:hAnsi="Calibri" w:cs="Calibri"/>
                <w:b/>
                <w:bCs/>
                <w:color w:val="000000"/>
                <w:lang w:eastAsia="en-GB"/>
              </w:rPr>
              <w:t>Overall</w:t>
            </w:r>
          </w:p>
        </w:tc>
        <w:tc>
          <w:tcPr>
            <w:tcW w:w="1279"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jc w:val="cente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Gender</w:t>
            </w:r>
          </w:p>
        </w:tc>
        <w:tc>
          <w:tcPr>
            <w:tcW w:w="1191"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jc w:val="cente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Urban/Rural</w:t>
            </w:r>
          </w:p>
        </w:tc>
        <w:tc>
          <w:tcPr>
            <w:tcW w:w="402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jc w:val="cente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Trust</w:t>
            </w:r>
          </w:p>
        </w:tc>
        <w:tc>
          <w:tcPr>
            <w:tcW w:w="3090"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jc w:val="cente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Deprivation</w:t>
            </w:r>
          </w:p>
        </w:tc>
        <w:tc>
          <w:tcPr>
            <w:tcW w:w="3135" w:type="dxa"/>
            <w:gridSpan w:val="7"/>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bottom"/>
          </w:tcPr>
          <w:p w:rsidR="00AD4073" w:rsidRPr="00023227" w:rsidRDefault="00AD4073" w:rsidP="00AD4073">
            <w:pPr>
              <w:jc w:val="cente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Age</w:t>
            </w:r>
          </w:p>
        </w:tc>
      </w:tr>
      <w:tr w:rsidR="00AD4073" w:rsidRPr="00462493" w:rsidTr="00AD4073">
        <w:trPr>
          <w:trHeight w:val="340"/>
        </w:trPr>
        <w:tc>
          <w:tcPr>
            <w:tcW w:w="2098" w:type="dxa"/>
            <w:vMerge/>
            <w:tcBorders>
              <w:left w:val="single" w:sz="12" w:space="0" w:color="auto"/>
              <w:bottom w:val="single" w:sz="12" w:space="0" w:color="auto"/>
              <w:right w:val="single" w:sz="12" w:space="0" w:color="auto"/>
            </w:tcBorders>
            <w:shd w:val="clear" w:color="auto" w:fill="A6A6A6" w:themeFill="background1" w:themeFillShade="A6"/>
            <w:noWrap/>
            <w:tcMar>
              <w:left w:w="57" w:type="dxa"/>
              <w:right w:w="57" w:type="dxa"/>
            </w:tcMar>
            <w:vAlign w:val="bottom"/>
            <w:hideMark/>
          </w:tcPr>
          <w:p w:rsidR="00AD4073" w:rsidRPr="00462493" w:rsidRDefault="00AD4073" w:rsidP="00AD4073">
            <w:pPr>
              <w:rPr>
                <w:rFonts w:ascii="Calibri" w:hAnsi="Calibri" w:cs="Calibri"/>
                <w:b/>
                <w:bCs/>
                <w:color w:val="000000"/>
                <w:lang w:eastAsia="en-GB"/>
              </w:rPr>
            </w:pPr>
          </w:p>
        </w:tc>
        <w:tc>
          <w:tcPr>
            <w:tcW w:w="713" w:type="dxa"/>
            <w:vMerge/>
            <w:tcBorders>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462493" w:rsidRDefault="00AD4073" w:rsidP="00AD4073">
            <w:pPr>
              <w:rPr>
                <w:rFonts w:ascii="Calibri" w:hAnsi="Calibri" w:cs="Calibri"/>
                <w:b/>
                <w:bCs/>
                <w:color w:val="000000"/>
                <w:lang w:eastAsia="en-GB"/>
              </w:rPr>
            </w:pPr>
          </w:p>
        </w:tc>
        <w:tc>
          <w:tcPr>
            <w:tcW w:w="561"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Male</w:t>
            </w:r>
          </w:p>
        </w:tc>
        <w:tc>
          <w:tcPr>
            <w:tcW w:w="718"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Female</w:t>
            </w:r>
          </w:p>
        </w:tc>
        <w:tc>
          <w:tcPr>
            <w:tcW w:w="630"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Urban</w:t>
            </w:r>
          </w:p>
        </w:tc>
        <w:tc>
          <w:tcPr>
            <w:tcW w:w="56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Rural</w:t>
            </w:r>
          </w:p>
        </w:tc>
        <w:tc>
          <w:tcPr>
            <w:tcW w:w="688" w:type="dxa"/>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Belfast</w:t>
            </w:r>
          </w:p>
        </w:tc>
        <w:tc>
          <w:tcPr>
            <w:tcW w:w="881"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Northern</w:t>
            </w:r>
          </w:p>
        </w:tc>
        <w:tc>
          <w:tcPr>
            <w:tcW w:w="73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South Eastern</w:t>
            </w:r>
          </w:p>
        </w:tc>
        <w:tc>
          <w:tcPr>
            <w:tcW w:w="880"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Southern</w:t>
            </w:r>
          </w:p>
        </w:tc>
        <w:tc>
          <w:tcPr>
            <w:tcW w:w="825"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Western</w:t>
            </w:r>
          </w:p>
        </w:tc>
        <w:tc>
          <w:tcPr>
            <w:tcW w:w="871" w:type="dxa"/>
            <w:gridSpan w:val="2"/>
            <w:tcBorders>
              <w:top w:val="single" w:sz="12" w:space="0" w:color="auto"/>
              <w:left w:val="single" w:sz="12" w:space="0" w:color="auto"/>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Most Deprived</w:t>
            </w:r>
          </w:p>
        </w:tc>
        <w:tc>
          <w:tcPr>
            <w:tcW w:w="44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Q2</w:t>
            </w:r>
          </w:p>
        </w:tc>
        <w:tc>
          <w:tcPr>
            <w:tcW w:w="44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Q3</w:t>
            </w:r>
          </w:p>
        </w:tc>
        <w:tc>
          <w:tcPr>
            <w:tcW w:w="449" w:type="dxa"/>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 xml:space="preserve">Q4 </w:t>
            </w:r>
          </w:p>
        </w:tc>
        <w:tc>
          <w:tcPr>
            <w:tcW w:w="871" w:type="dxa"/>
            <w:tcBorders>
              <w:top w:val="single" w:sz="12" w:space="0" w:color="auto"/>
              <w:left w:val="nil"/>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023227" w:rsidRDefault="00AD4073" w:rsidP="00AD4073">
            <w:pPr>
              <w:rPr>
                <w:rFonts w:ascii="Calibri" w:hAnsi="Calibri" w:cs="Calibri"/>
                <w:b/>
                <w:bCs/>
                <w:color w:val="000000"/>
                <w:sz w:val="18"/>
                <w:szCs w:val="18"/>
                <w:lang w:eastAsia="en-GB"/>
              </w:rPr>
            </w:pPr>
            <w:r w:rsidRPr="00023227">
              <w:rPr>
                <w:rFonts w:ascii="Calibri" w:hAnsi="Calibri" w:cs="Calibri"/>
                <w:b/>
                <w:bCs/>
                <w:color w:val="000000"/>
                <w:sz w:val="18"/>
                <w:szCs w:val="18"/>
                <w:lang w:eastAsia="en-GB"/>
              </w:rPr>
              <w:t>Least Deprived</w:t>
            </w:r>
          </w:p>
        </w:tc>
        <w:tc>
          <w:tcPr>
            <w:tcW w:w="449" w:type="dxa"/>
            <w:gridSpan w:val="2"/>
            <w:tcBorders>
              <w:top w:val="single" w:sz="12" w:space="0" w:color="auto"/>
              <w:left w:val="nil"/>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16-24</w:t>
            </w:r>
          </w:p>
        </w:tc>
        <w:tc>
          <w:tcPr>
            <w:tcW w:w="449"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25-34</w:t>
            </w:r>
          </w:p>
        </w:tc>
        <w:tc>
          <w:tcPr>
            <w:tcW w:w="449"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35-44</w:t>
            </w:r>
          </w:p>
        </w:tc>
        <w:tc>
          <w:tcPr>
            <w:tcW w:w="449"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45-54</w:t>
            </w:r>
          </w:p>
        </w:tc>
        <w:tc>
          <w:tcPr>
            <w:tcW w:w="449"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55-64</w:t>
            </w:r>
          </w:p>
        </w:tc>
        <w:tc>
          <w:tcPr>
            <w:tcW w:w="449" w:type="dxa"/>
            <w:tcBorders>
              <w:top w:val="single" w:sz="12" w:space="0" w:color="auto"/>
              <w:left w:val="single" w:sz="4" w:space="0" w:color="auto"/>
              <w:bottom w:val="single" w:sz="12" w:space="0" w:color="auto"/>
              <w:right w:val="single" w:sz="4"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65-74</w:t>
            </w:r>
          </w:p>
        </w:tc>
        <w:tc>
          <w:tcPr>
            <w:tcW w:w="449" w:type="dxa"/>
            <w:tcBorders>
              <w:top w:val="single" w:sz="12" w:space="0" w:color="auto"/>
              <w:left w:val="single" w:sz="4" w:space="0" w:color="auto"/>
              <w:bottom w:val="single" w:sz="12" w:space="0" w:color="auto"/>
              <w:right w:val="single" w:sz="12" w:space="0" w:color="auto"/>
            </w:tcBorders>
            <w:shd w:val="clear" w:color="auto" w:fill="A6A6A6" w:themeFill="background1" w:themeFillShade="A6"/>
            <w:tcMar>
              <w:left w:w="57" w:type="dxa"/>
              <w:right w:w="57" w:type="dxa"/>
            </w:tcMar>
            <w:vAlign w:val="bottom"/>
          </w:tcPr>
          <w:p w:rsidR="00AD4073" w:rsidRPr="00023227" w:rsidRDefault="00AD4073" w:rsidP="00AD4073">
            <w:pPr>
              <w:rPr>
                <w:rFonts w:ascii="Calibri" w:hAnsi="Calibri" w:cs="Calibri"/>
                <w:b/>
                <w:bCs/>
                <w:color w:val="000000"/>
                <w:sz w:val="18"/>
                <w:szCs w:val="18"/>
              </w:rPr>
            </w:pPr>
            <w:r w:rsidRPr="00023227">
              <w:rPr>
                <w:rFonts w:ascii="Calibri" w:hAnsi="Calibri" w:cs="Calibri"/>
                <w:b/>
                <w:bCs/>
                <w:color w:val="000000"/>
                <w:sz w:val="18"/>
                <w:szCs w:val="18"/>
              </w:rPr>
              <w:t>75+</w:t>
            </w:r>
          </w:p>
        </w:tc>
      </w:tr>
      <w:tr w:rsidR="00AD4073" w:rsidTr="00AD4073">
        <w:trPr>
          <w:trHeight w:val="227"/>
        </w:trPr>
        <w:tc>
          <w:tcPr>
            <w:tcW w:w="2098" w:type="dxa"/>
            <w:tcBorders>
              <w:top w:val="single" w:sz="12" w:space="0" w:color="auto"/>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Pr>
                <w:rFonts w:asciiTheme="minorHAnsi" w:hAnsiTheme="minorHAnsi" w:cstheme="minorHAnsi"/>
                <w:b/>
                <w:bCs/>
                <w:color w:val="000000"/>
                <w:sz w:val="18"/>
                <w:szCs w:val="18"/>
              </w:rPr>
              <w:t>Unless o</w:t>
            </w:r>
            <w:r w:rsidRPr="003A44C7">
              <w:rPr>
                <w:rFonts w:asciiTheme="minorHAnsi" w:hAnsiTheme="minorHAnsi" w:cstheme="minorHAnsi"/>
                <w:b/>
                <w:bCs/>
                <w:color w:val="000000"/>
                <w:sz w:val="18"/>
                <w:szCs w:val="18"/>
              </w:rPr>
              <w:t>therwise stated aged 16+</w:t>
            </w:r>
            <w:r w:rsidRPr="003A44C7">
              <w:rPr>
                <w:rFonts w:asciiTheme="minorHAnsi" w:hAnsiTheme="minorHAnsi" w:cstheme="minorHAnsi"/>
                <w:b/>
                <w:bCs/>
                <w:color w:val="000000"/>
                <w:sz w:val="18"/>
                <w:szCs w:val="18"/>
                <w:vertAlign w:val="superscript"/>
              </w:rPr>
              <w:t>2</w:t>
            </w:r>
          </w:p>
        </w:tc>
        <w:tc>
          <w:tcPr>
            <w:tcW w:w="71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3664</w:t>
            </w:r>
          </w:p>
        </w:tc>
        <w:tc>
          <w:tcPr>
            <w:tcW w:w="561"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1486</w:t>
            </w:r>
          </w:p>
        </w:tc>
        <w:tc>
          <w:tcPr>
            <w:tcW w:w="718" w:type="dxa"/>
            <w:tcBorders>
              <w:top w:val="single" w:sz="12" w:space="0" w:color="auto"/>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2178</w:t>
            </w:r>
          </w:p>
        </w:tc>
        <w:tc>
          <w:tcPr>
            <w:tcW w:w="63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2354</w:t>
            </w:r>
          </w:p>
        </w:tc>
        <w:tc>
          <w:tcPr>
            <w:tcW w:w="561" w:type="dxa"/>
            <w:tcBorders>
              <w:top w:val="single" w:sz="12" w:space="0" w:color="auto"/>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1310</w:t>
            </w:r>
          </w:p>
        </w:tc>
        <w:tc>
          <w:tcPr>
            <w:tcW w:w="68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697</w:t>
            </w:r>
          </w:p>
        </w:tc>
        <w:tc>
          <w:tcPr>
            <w:tcW w:w="881" w:type="dxa"/>
            <w:tcBorders>
              <w:top w:val="single" w:sz="12"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963</w:t>
            </w:r>
          </w:p>
        </w:tc>
        <w:tc>
          <w:tcPr>
            <w:tcW w:w="739" w:type="dxa"/>
            <w:tcBorders>
              <w:top w:val="single" w:sz="12"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749</w:t>
            </w:r>
          </w:p>
        </w:tc>
        <w:tc>
          <w:tcPr>
            <w:tcW w:w="880" w:type="dxa"/>
            <w:tcBorders>
              <w:top w:val="single" w:sz="12" w:space="0" w:color="auto"/>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714</w:t>
            </w:r>
          </w:p>
        </w:tc>
        <w:tc>
          <w:tcPr>
            <w:tcW w:w="825" w:type="dxa"/>
            <w:tcBorders>
              <w:top w:val="single" w:sz="12" w:space="0" w:color="auto"/>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542</w:t>
            </w:r>
          </w:p>
        </w:tc>
        <w:tc>
          <w:tcPr>
            <w:tcW w:w="87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697</w:t>
            </w:r>
          </w:p>
        </w:tc>
        <w:tc>
          <w:tcPr>
            <w:tcW w:w="449" w:type="dxa"/>
            <w:tcBorders>
              <w:top w:val="single" w:sz="12"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730</w:t>
            </w:r>
          </w:p>
        </w:tc>
        <w:tc>
          <w:tcPr>
            <w:tcW w:w="449" w:type="dxa"/>
            <w:tcBorders>
              <w:top w:val="single" w:sz="12"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801</w:t>
            </w:r>
          </w:p>
        </w:tc>
        <w:tc>
          <w:tcPr>
            <w:tcW w:w="449" w:type="dxa"/>
            <w:tcBorders>
              <w:top w:val="single" w:sz="12"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744</w:t>
            </w:r>
          </w:p>
        </w:tc>
        <w:tc>
          <w:tcPr>
            <w:tcW w:w="871" w:type="dxa"/>
            <w:tcBorders>
              <w:top w:val="single" w:sz="12" w:space="0" w:color="auto"/>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692</w:t>
            </w:r>
          </w:p>
        </w:tc>
        <w:tc>
          <w:tcPr>
            <w:tcW w:w="449" w:type="dxa"/>
            <w:gridSpan w:val="2"/>
            <w:tcBorders>
              <w:top w:val="single" w:sz="12"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572</w:t>
            </w:r>
          </w:p>
        </w:tc>
        <w:tc>
          <w:tcPr>
            <w:tcW w:w="449"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627</w:t>
            </w:r>
          </w:p>
        </w:tc>
        <w:tc>
          <w:tcPr>
            <w:tcW w:w="449"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645</w:t>
            </w:r>
          </w:p>
        </w:tc>
        <w:tc>
          <w:tcPr>
            <w:tcW w:w="449"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636</w:t>
            </w:r>
          </w:p>
        </w:tc>
        <w:tc>
          <w:tcPr>
            <w:tcW w:w="449"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494</w:t>
            </w:r>
          </w:p>
        </w:tc>
        <w:tc>
          <w:tcPr>
            <w:tcW w:w="449"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376</w:t>
            </w:r>
          </w:p>
        </w:tc>
        <w:tc>
          <w:tcPr>
            <w:tcW w:w="449"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313</w:t>
            </w:r>
          </w:p>
        </w:tc>
      </w:tr>
      <w:tr w:rsidR="00AD4073" w:rsidTr="00AD4073">
        <w:trPr>
          <w:trHeight w:val="227"/>
        </w:trPr>
        <w:tc>
          <w:tcPr>
            <w:tcW w:w="209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Alcohol </w:t>
            </w:r>
            <w:r>
              <w:rPr>
                <w:rFonts w:asciiTheme="minorHAnsi" w:hAnsiTheme="minorHAnsi" w:cstheme="minorHAnsi"/>
                <w:b/>
                <w:bCs/>
                <w:color w:val="000000"/>
                <w:sz w:val="18"/>
                <w:szCs w:val="18"/>
              </w:rPr>
              <w:t>(1</w:t>
            </w:r>
            <w:r w:rsidRPr="003A44C7">
              <w:rPr>
                <w:rFonts w:asciiTheme="minorHAnsi" w:hAnsiTheme="minorHAnsi" w:cstheme="minorHAnsi"/>
                <w:b/>
                <w:bCs/>
                <w:color w:val="000000"/>
                <w:sz w:val="18"/>
                <w:szCs w:val="18"/>
              </w:rPr>
              <w:t>8+</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3</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3537</w:t>
            </w:r>
          </w:p>
        </w:tc>
        <w:tc>
          <w:tcPr>
            <w:tcW w:w="561"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1431</w:t>
            </w:r>
          </w:p>
        </w:tc>
        <w:tc>
          <w:tcPr>
            <w:tcW w:w="718"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2106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2279</w:t>
            </w:r>
          </w:p>
        </w:tc>
        <w:tc>
          <w:tcPr>
            <w:tcW w:w="56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1258</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674</w:t>
            </w:r>
          </w:p>
        </w:tc>
        <w:tc>
          <w:tcPr>
            <w:tcW w:w="881"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916</w:t>
            </w:r>
          </w:p>
        </w:tc>
        <w:tc>
          <w:tcPr>
            <w:tcW w:w="739"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733</w:t>
            </w:r>
          </w:p>
        </w:tc>
        <w:tc>
          <w:tcPr>
            <w:tcW w:w="880"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691</w:t>
            </w:r>
          </w:p>
        </w:tc>
        <w:tc>
          <w:tcPr>
            <w:tcW w:w="825"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523</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677</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709</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770</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713</w:t>
            </w:r>
          </w:p>
        </w:tc>
        <w:tc>
          <w:tcPr>
            <w:tcW w:w="87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669</w:t>
            </w:r>
          </w:p>
        </w:tc>
        <w:tc>
          <w:tcPr>
            <w:tcW w:w="449" w:type="dxa"/>
            <w:gridSpan w:val="2"/>
            <w:tcBorders>
              <w:top w:val="nil"/>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445</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627</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645</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636</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494</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376</w:t>
            </w:r>
          </w:p>
        </w:tc>
        <w:tc>
          <w:tcPr>
            <w:tcW w:w="449" w:type="dxa"/>
            <w:tcBorders>
              <w:top w:val="nil"/>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313</w:t>
            </w:r>
          </w:p>
        </w:tc>
      </w:tr>
      <w:tr w:rsidR="00AD4073" w:rsidTr="00AD4073">
        <w:trPr>
          <w:trHeight w:val="227"/>
        </w:trPr>
        <w:tc>
          <w:tcPr>
            <w:tcW w:w="209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Physical Activity </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rPr>
              <w:t>19+</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4</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3473</w:t>
            </w:r>
          </w:p>
        </w:tc>
        <w:tc>
          <w:tcPr>
            <w:tcW w:w="561"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1404</w:t>
            </w:r>
          </w:p>
        </w:tc>
        <w:tc>
          <w:tcPr>
            <w:tcW w:w="718"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2069</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2250</w:t>
            </w:r>
          </w:p>
        </w:tc>
        <w:tc>
          <w:tcPr>
            <w:tcW w:w="56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1223</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672</w:t>
            </w:r>
          </w:p>
        </w:tc>
        <w:tc>
          <w:tcPr>
            <w:tcW w:w="881"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903</w:t>
            </w:r>
          </w:p>
        </w:tc>
        <w:tc>
          <w:tcPr>
            <w:tcW w:w="739"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718</w:t>
            </w:r>
          </w:p>
        </w:tc>
        <w:tc>
          <w:tcPr>
            <w:tcW w:w="880"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673</w:t>
            </w:r>
          </w:p>
        </w:tc>
        <w:tc>
          <w:tcPr>
            <w:tcW w:w="825"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506</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660</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701</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748</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700</w:t>
            </w:r>
          </w:p>
        </w:tc>
        <w:tc>
          <w:tcPr>
            <w:tcW w:w="87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665</w:t>
            </w:r>
          </w:p>
        </w:tc>
        <w:tc>
          <w:tcPr>
            <w:tcW w:w="449" w:type="dxa"/>
            <w:gridSpan w:val="2"/>
            <w:tcBorders>
              <w:top w:val="nil"/>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381</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627</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645</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636</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494</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376</w:t>
            </w:r>
          </w:p>
        </w:tc>
        <w:tc>
          <w:tcPr>
            <w:tcW w:w="449" w:type="dxa"/>
            <w:tcBorders>
              <w:top w:val="nil"/>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313</w:t>
            </w:r>
          </w:p>
        </w:tc>
      </w:tr>
      <w:tr w:rsidR="00AD4073" w:rsidTr="00AD4073">
        <w:trPr>
          <w:trHeight w:val="227"/>
        </w:trPr>
        <w:tc>
          <w:tcPr>
            <w:tcW w:w="209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Sexual health </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rPr>
              <w:t>16-55</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5</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2535</w:t>
            </w:r>
          </w:p>
        </w:tc>
        <w:tc>
          <w:tcPr>
            <w:tcW w:w="561"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1055</w:t>
            </w:r>
          </w:p>
        </w:tc>
        <w:tc>
          <w:tcPr>
            <w:tcW w:w="718"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1480</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1635</w:t>
            </w:r>
          </w:p>
        </w:tc>
        <w:tc>
          <w:tcPr>
            <w:tcW w:w="56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900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477</w:t>
            </w:r>
          </w:p>
        </w:tc>
        <w:tc>
          <w:tcPr>
            <w:tcW w:w="881"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662</w:t>
            </w:r>
          </w:p>
        </w:tc>
        <w:tc>
          <w:tcPr>
            <w:tcW w:w="739"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509</w:t>
            </w:r>
          </w:p>
        </w:tc>
        <w:tc>
          <w:tcPr>
            <w:tcW w:w="880"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517</w:t>
            </w:r>
          </w:p>
        </w:tc>
        <w:tc>
          <w:tcPr>
            <w:tcW w:w="825"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369</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522</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481</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581</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509</w:t>
            </w:r>
          </w:p>
        </w:tc>
        <w:tc>
          <w:tcPr>
            <w:tcW w:w="87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441</w:t>
            </w:r>
          </w:p>
        </w:tc>
        <w:tc>
          <w:tcPr>
            <w:tcW w:w="449" w:type="dxa"/>
            <w:gridSpan w:val="2"/>
            <w:tcBorders>
              <w:top w:val="nil"/>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572</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627</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645</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636</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 xml:space="preserve">54 </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r>
      <w:tr w:rsidR="00AD4073" w:rsidTr="00AD4073">
        <w:trPr>
          <w:trHeight w:val="227"/>
        </w:trPr>
        <w:tc>
          <w:tcPr>
            <w:tcW w:w="209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BMI </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rPr>
              <w:t>16+</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6</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2759</w:t>
            </w:r>
          </w:p>
        </w:tc>
        <w:tc>
          <w:tcPr>
            <w:tcW w:w="561"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1187</w:t>
            </w:r>
          </w:p>
        </w:tc>
        <w:tc>
          <w:tcPr>
            <w:tcW w:w="718"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1573</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1748</w:t>
            </w:r>
          </w:p>
        </w:tc>
        <w:tc>
          <w:tcPr>
            <w:tcW w:w="56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1010</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507</w:t>
            </w:r>
          </w:p>
        </w:tc>
        <w:tc>
          <w:tcPr>
            <w:tcW w:w="881"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741</w:t>
            </w:r>
          </w:p>
        </w:tc>
        <w:tc>
          <w:tcPr>
            <w:tcW w:w="739"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617</w:t>
            </w:r>
          </w:p>
        </w:tc>
        <w:tc>
          <w:tcPr>
            <w:tcW w:w="880"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495</w:t>
            </w:r>
          </w:p>
        </w:tc>
        <w:tc>
          <w:tcPr>
            <w:tcW w:w="825"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398</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509</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541</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616</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565</w:t>
            </w:r>
          </w:p>
        </w:tc>
        <w:tc>
          <w:tcPr>
            <w:tcW w:w="87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527</w:t>
            </w:r>
          </w:p>
        </w:tc>
        <w:tc>
          <w:tcPr>
            <w:tcW w:w="449" w:type="dxa"/>
            <w:gridSpan w:val="2"/>
            <w:tcBorders>
              <w:top w:val="nil"/>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432</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472</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486</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480</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372</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283</w:t>
            </w:r>
          </w:p>
        </w:tc>
        <w:tc>
          <w:tcPr>
            <w:tcW w:w="449" w:type="dxa"/>
            <w:tcBorders>
              <w:top w:val="nil"/>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234</w:t>
            </w:r>
          </w:p>
        </w:tc>
      </w:tr>
      <w:tr w:rsidR="00AD4073" w:rsidTr="00AD4073">
        <w:trPr>
          <w:trHeight w:val="227"/>
        </w:trPr>
        <w:tc>
          <w:tcPr>
            <w:tcW w:w="2098" w:type="dxa"/>
            <w:tcBorders>
              <w:top w:val="nil"/>
              <w:left w:val="single" w:sz="12" w:space="0" w:color="auto"/>
              <w:bottom w:val="single" w:sz="4" w:space="0" w:color="auto"/>
              <w:right w:val="single" w:sz="12" w:space="0" w:color="auto"/>
            </w:tcBorders>
            <w:shd w:val="clear" w:color="auto" w:fill="A6A6A6" w:themeFill="background1" w:themeFillShade="A6"/>
            <w:noWrap/>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BMI </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rPr>
              <w:t>2-10</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7</w:t>
            </w:r>
          </w:p>
        </w:tc>
        <w:tc>
          <w:tcPr>
            <w:tcW w:w="713" w:type="dxa"/>
            <w:tcBorders>
              <w:top w:val="nil"/>
              <w:left w:val="single" w:sz="12" w:space="0" w:color="auto"/>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323</w:t>
            </w:r>
          </w:p>
        </w:tc>
        <w:tc>
          <w:tcPr>
            <w:tcW w:w="561"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167</w:t>
            </w:r>
          </w:p>
        </w:tc>
        <w:tc>
          <w:tcPr>
            <w:tcW w:w="718"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156</w:t>
            </w:r>
          </w:p>
        </w:tc>
        <w:tc>
          <w:tcPr>
            <w:tcW w:w="630" w:type="dxa"/>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184</w:t>
            </w:r>
          </w:p>
        </w:tc>
        <w:tc>
          <w:tcPr>
            <w:tcW w:w="56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137</w:t>
            </w:r>
          </w:p>
        </w:tc>
        <w:tc>
          <w:tcPr>
            <w:tcW w:w="688" w:type="dxa"/>
            <w:tcBorders>
              <w:top w:val="nil"/>
              <w:left w:val="single" w:sz="12" w:space="0" w:color="auto"/>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36</w:t>
            </w:r>
          </w:p>
        </w:tc>
        <w:tc>
          <w:tcPr>
            <w:tcW w:w="881"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117</w:t>
            </w:r>
          </w:p>
        </w:tc>
        <w:tc>
          <w:tcPr>
            <w:tcW w:w="739"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57</w:t>
            </w:r>
          </w:p>
        </w:tc>
        <w:tc>
          <w:tcPr>
            <w:tcW w:w="880" w:type="dxa"/>
            <w:tcBorders>
              <w:top w:val="nil"/>
              <w:left w:val="nil"/>
              <w:bottom w:val="single" w:sz="4"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65</w:t>
            </w:r>
          </w:p>
        </w:tc>
        <w:tc>
          <w:tcPr>
            <w:tcW w:w="825" w:type="dxa"/>
            <w:tcBorders>
              <w:top w:val="nil"/>
              <w:left w:val="nil"/>
              <w:bottom w:val="single" w:sz="4"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47</w:t>
            </w:r>
          </w:p>
        </w:tc>
        <w:tc>
          <w:tcPr>
            <w:tcW w:w="871" w:type="dxa"/>
            <w:gridSpan w:val="2"/>
            <w:tcBorders>
              <w:top w:val="nil"/>
              <w:left w:val="single" w:sz="12" w:space="0" w:color="auto"/>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58</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88</w:t>
            </w:r>
          </w:p>
        </w:tc>
        <w:tc>
          <w:tcPr>
            <w:tcW w:w="449"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69</w:t>
            </w:r>
          </w:p>
        </w:tc>
        <w:tc>
          <w:tcPr>
            <w:tcW w:w="871" w:type="dxa"/>
            <w:tcBorders>
              <w:top w:val="nil"/>
              <w:left w:val="nil"/>
              <w:bottom w:val="single" w:sz="4"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40</w:t>
            </w:r>
          </w:p>
        </w:tc>
        <w:tc>
          <w:tcPr>
            <w:tcW w:w="449" w:type="dxa"/>
            <w:gridSpan w:val="2"/>
            <w:tcBorders>
              <w:top w:val="nil"/>
              <w:left w:val="nil"/>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4"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r>
      <w:tr w:rsidR="00AD4073" w:rsidTr="00AD4073">
        <w:trPr>
          <w:trHeight w:val="227"/>
        </w:trPr>
        <w:tc>
          <w:tcPr>
            <w:tcW w:w="2098" w:type="dxa"/>
            <w:tcBorders>
              <w:top w:val="nil"/>
              <w:left w:val="single" w:sz="12" w:space="0" w:color="auto"/>
              <w:bottom w:val="single" w:sz="12" w:space="0" w:color="auto"/>
              <w:right w:val="single" w:sz="12" w:space="0" w:color="auto"/>
            </w:tcBorders>
            <w:shd w:val="clear" w:color="auto" w:fill="A6A6A6" w:themeFill="background1" w:themeFillShade="A6"/>
            <w:tcMar>
              <w:left w:w="57" w:type="dxa"/>
              <w:right w:w="57" w:type="dxa"/>
            </w:tcMar>
            <w:vAlign w:val="bottom"/>
            <w:hideMark/>
          </w:tcPr>
          <w:p w:rsidR="00AD4073" w:rsidRPr="003A44C7" w:rsidRDefault="00AD4073" w:rsidP="00AD4073">
            <w:pPr>
              <w:jc w:val="left"/>
              <w:rPr>
                <w:rFonts w:asciiTheme="minorHAnsi" w:hAnsiTheme="minorHAnsi" w:cstheme="minorHAnsi"/>
                <w:b/>
                <w:bCs/>
                <w:color w:val="000000"/>
                <w:sz w:val="18"/>
                <w:szCs w:val="18"/>
                <w:vertAlign w:val="superscript"/>
              </w:rPr>
            </w:pPr>
            <w:r w:rsidRPr="003A44C7">
              <w:rPr>
                <w:rFonts w:asciiTheme="minorHAnsi" w:hAnsiTheme="minorHAnsi" w:cstheme="minorHAnsi"/>
                <w:b/>
                <w:bCs/>
                <w:color w:val="000000"/>
                <w:sz w:val="18"/>
                <w:szCs w:val="18"/>
              </w:rPr>
              <w:t xml:space="preserve">Weight perception </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rPr>
              <w:t>8-15</w:t>
            </w:r>
            <w:r>
              <w:rPr>
                <w:rFonts w:asciiTheme="minorHAnsi" w:hAnsiTheme="minorHAnsi" w:cstheme="minorHAnsi"/>
                <w:b/>
                <w:bCs/>
                <w:color w:val="000000"/>
                <w:sz w:val="18"/>
                <w:szCs w:val="18"/>
              </w:rPr>
              <w:t>)</w:t>
            </w:r>
            <w:r w:rsidRPr="003A44C7">
              <w:rPr>
                <w:rFonts w:asciiTheme="minorHAnsi" w:hAnsiTheme="minorHAnsi" w:cstheme="minorHAnsi"/>
                <w:b/>
                <w:bCs/>
                <w:color w:val="000000"/>
                <w:sz w:val="18"/>
                <w:szCs w:val="18"/>
                <w:vertAlign w:val="superscript"/>
              </w:rPr>
              <w:t>8</w:t>
            </w:r>
          </w:p>
        </w:tc>
        <w:tc>
          <w:tcPr>
            <w:tcW w:w="713" w:type="dxa"/>
            <w:tcBorders>
              <w:top w:val="nil"/>
              <w:left w:val="single" w:sz="12" w:space="0" w:color="auto"/>
              <w:bottom w:val="single" w:sz="12"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287</w:t>
            </w:r>
          </w:p>
        </w:tc>
        <w:tc>
          <w:tcPr>
            <w:tcW w:w="561" w:type="dxa"/>
            <w:tcBorders>
              <w:top w:val="nil"/>
              <w:left w:val="single" w:sz="12" w:space="0" w:color="auto"/>
              <w:bottom w:val="single" w:sz="12"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149</w:t>
            </w:r>
          </w:p>
        </w:tc>
        <w:tc>
          <w:tcPr>
            <w:tcW w:w="718" w:type="dxa"/>
            <w:tcBorders>
              <w:top w:val="nil"/>
              <w:left w:val="nil"/>
              <w:bottom w:val="single" w:sz="12"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136</w:t>
            </w:r>
          </w:p>
        </w:tc>
        <w:tc>
          <w:tcPr>
            <w:tcW w:w="630" w:type="dxa"/>
            <w:tcBorders>
              <w:top w:val="nil"/>
              <w:left w:val="single" w:sz="12" w:space="0" w:color="auto"/>
              <w:bottom w:val="single" w:sz="12"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144</w:t>
            </w:r>
          </w:p>
        </w:tc>
        <w:tc>
          <w:tcPr>
            <w:tcW w:w="561" w:type="dxa"/>
            <w:tcBorders>
              <w:top w:val="nil"/>
              <w:left w:val="nil"/>
              <w:bottom w:val="single" w:sz="12"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142</w:t>
            </w:r>
          </w:p>
        </w:tc>
        <w:tc>
          <w:tcPr>
            <w:tcW w:w="688" w:type="dxa"/>
            <w:tcBorders>
              <w:top w:val="nil"/>
              <w:left w:val="single" w:sz="12" w:space="0" w:color="auto"/>
              <w:bottom w:val="single" w:sz="12"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31</w:t>
            </w:r>
          </w:p>
        </w:tc>
        <w:tc>
          <w:tcPr>
            <w:tcW w:w="881" w:type="dxa"/>
            <w:tcBorders>
              <w:top w:val="nil"/>
              <w:left w:val="nil"/>
              <w:bottom w:val="single" w:sz="12"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109</w:t>
            </w:r>
          </w:p>
        </w:tc>
        <w:tc>
          <w:tcPr>
            <w:tcW w:w="739" w:type="dxa"/>
            <w:tcBorders>
              <w:top w:val="nil"/>
              <w:left w:val="nil"/>
              <w:bottom w:val="single" w:sz="12"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58</w:t>
            </w:r>
          </w:p>
        </w:tc>
        <w:tc>
          <w:tcPr>
            <w:tcW w:w="880" w:type="dxa"/>
            <w:tcBorders>
              <w:top w:val="nil"/>
              <w:left w:val="nil"/>
              <w:bottom w:val="single" w:sz="12" w:space="0" w:color="auto"/>
              <w:right w:val="single" w:sz="4"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43</w:t>
            </w:r>
          </w:p>
        </w:tc>
        <w:tc>
          <w:tcPr>
            <w:tcW w:w="825" w:type="dxa"/>
            <w:tcBorders>
              <w:top w:val="nil"/>
              <w:left w:val="nil"/>
              <w:bottom w:val="single" w:sz="12" w:space="0" w:color="auto"/>
              <w:right w:val="single" w:sz="12" w:space="0" w:color="auto"/>
            </w:tcBorders>
            <w:shd w:val="clear" w:color="auto" w:fill="D9D9D9" w:themeFill="background1" w:themeFillShade="D9"/>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45</w:t>
            </w:r>
          </w:p>
        </w:tc>
        <w:tc>
          <w:tcPr>
            <w:tcW w:w="871" w:type="dxa"/>
            <w:gridSpan w:val="2"/>
            <w:tcBorders>
              <w:top w:val="nil"/>
              <w:left w:val="single" w:sz="12" w:space="0" w:color="auto"/>
              <w:bottom w:val="single" w:sz="12"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42</w:t>
            </w:r>
          </w:p>
        </w:tc>
        <w:tc>
          <w:tcPr>
            <w:tcW w:w="449" w:type="dxa"/>
            <w:tcBorders>
              <w:top w:val="nil"/>
              <w:left w:val="nil"/>
              <w:bottom w:val="single" w:sz="12"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61</w:t>
            </w:r>
          </w:p>
        </w:tc>
        <w:tc>
          <w:tcPr>
            <w:tcW w:w="449" w:type="dxa"/>
            <w:tcBorders>
              <w:top w:val="nil"/>
              <w:left w:val="nil"/>
              <w:bottom w:val="single" w:sz="12"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75</w:t>
            </w:r>
          </w:p>
        </w:tc>
        <w:tc>
          <w:tcPr>
            <w:tcW w:w="449" w:type="dxa"/>
            <w:tcBorders>
              <w:top w:val="nil"/>
              <w:left w:val="nil"/>
              <w:bottom w:val="single" w:sz="12" w:space="0" w:color="auto"/>
              <w:right w:val="single" w:sz="4"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67</w:t>
            </w:r>
          </w:p>
        </w:tc>
        <w:tc>
          <w:tcPr>
            <w:tcW w:w="871" w:type="dxa"/>
            <w:tcBorders>
              <w:top w:val="nil"/>
              <w:left w:val="nil"/>
              <w:bottom w:val="single" w:sz="12" w:space="0" w:color="auto"/>
              <w:right w:val="single" w:sz="12" w:space="0" w:color="auto"/>
            </w:tcBorders>
            <w:shd w:val="clear" w:color="auto" w:fill="F2F2F2" w:themeFill="background1" w:themeFillShade="F2"/>
            <w:noWrap/>
            <w:tcMar>
              <w:left w:w="57" w:type="dxa"/>
              <w:right w:w="57" w:type="dxa"/>
            </w:tcMar>
            <w:vAlign w:val="bottom"/>
            <w:hideMark/>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42</w:t>
            </w:r>
          </w:p>
        </w:tc>
        <w:tc>
          <w:tcPr>
            <w:tcW w:w="449" w:type="dxa"/>
            <w:gridSpan w:val="2"/>
            <w:tcBorders>
              <w:top w:val="nil"/>
              <w:left w:val="nil"/>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4"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c>
          <w:tcPr>
            <w:tcW w:w="449" w:type="dxa"/>
            <w:tcBorders>
              <w:top w:val="nil"/>
              <w:left w:val="single" w:sz="4" w:space="0" w:color="auto"/>
              <w:bottom w:val="single" w:sz="12" w:space="0" w:color="auto"/>
              <w:right w:val="single" w:sz="12" w:space="0" w:color="auto"/>
            </w:tcBorders>
            <w:shd w:val="clear" w:color="auto" w:fill="D9D9D9" w:themeFill="background1" w:themeFillShade="D9"/>
            <w:tcMar>
              <w:left w:w="57" w:type="dxa"/>
              <w:right w:w="57" w:type="dxa"/>
            </w:tcMar>
            <w:vAlign w:val="bottom"/>
          </w:tcPr>
          <w:p w:rsidR="00AD4073" w:rsidRPr="00023227" w:rsidRDefault="00AD4073" w:rsidP="00AD4073">
            <w:pPr>
              <w:spacing w:line="276" w:lineRule="auto"/>
              <w:jc w:val="right"/>
              <w:rPr>
                <w:rFonts w:asciiTheme="minorHAnsi" w:hAnsiTheme="minorHAnsi" w:cstheme="minorHAnsi"/>
                <w:color w:val="000000"/>
                <w:sz w:val="18"/>
                <w:szCs w:val="18"/>
              </w:rPr>
            </w:pPr>
            <w:r w:rsidRPr="00023227">
              <w:rPr>
                <w:rFonts w:asciiTheme="minorHAnsi" w:hAnsiTheme="minorHAnsi" w:cstheme="minorHAnsi"/>
                <w:color w:val="000000"/>
                <w:sz w:val="18"/>
                <w:szCs w:val="18"/>
              </w:rPr>
              <w:t>n/a</w:t>
            </w:r>
          </w:p>
        </w:tc>
      </w:tr>
    </w:tbl>
    <w:p w:rsidR="00AD4073" w:rsidRDefault="00AD4073" w:rsidP="00A5639D">
      <w:pPr>
        <w:spacing w:before="60"/>
        <w:rPr>
          <w:rFonts w:asciiTheme="minorHAnsi" w:hAnsiTheme="minorHAnsi" w:cstheme="minorHAnsi"/>
          <w:b/>
          <w:sz w:val="22"/>
          <w:szCs w:val="22"/>
          <w:vertAlign w:val="superscript"/>
        </w:rPr>
        <w:sectPr w:rsidR="00AD4073" w:rsidSect="00555E2B">
          <w:type w:val="continuous"/>
          <w:pgSz w:w="16838" w:h="11906" w:orient="landscape"/>
          <w:pgMar w:top="737" w:right="851" w:bottom="737" w:left="851" w:header="709" w:footer="709" w:gutter="0"/>
          <w:cols w:num="2" w:space="454"/>
          <w:docGrid w:linePitch="360"/>
        </w:sectPr>
      </w:pPr>
    </w:p>
    <w:p w:rsidR="003A44C7" w:rsidRPr="005E098B" w:rsidRDefault="003A44C7" w:rsidP="00110DF7">
      <w:pPr>
        <w:pStyle w:val="ListParagraph"/>
        <w:numPr>
          <w:ilvl w:val="0"/>
          <w:numId w:val="7"/>
        </w:numPr>
        <w:spacing w:after="0" w:line="240" w:lineRule="auto"/>
        <w:ind w:left="714" w:hanging="357"/>
        <w:contextualSpacing w:val="0"/>
        <w:rPr>
          <w:rFonts w:cstheme="minorHAnsi"/>
          <w:sz w:val="18"/>
          <w:szCs w:val="18"/>
        </w:rPr>
      </w:pPr>
      <w:r w:rsidRPr="005E098B">
        <w:rPr>
          <w:rFonts w:cstheme="minorHAnsi"/>
          <w:sz w:val="18"/>
          <w:szCs w:val="18"/>
        </w:rPr>
        <w:t xml:space="preserve">Weighted base numbers have been provided in this section in order to calculate confidence intervals.  The formula for the confidence interval is √((p(100-p)/n) * 1.96.  </w:t>
      </w:r>
    </w:p>
    <w:p w:rsidR="003A44C7" w:rsidRPr="005E098B" w:rsidRDefault="003A44C7" w:rsidP="00110DF7">
      <w:pPr>
        <w:pStyle w:val="ListParagraph"/>
        <w:spacing w:after="0" w:line="240" w:lineRule="auto"/>
        <w:ind w:left="714"/>
        <w:contextualSpacing w:val="0"/>
        <w:rPr>
          <w:rFonts w:cstheme="minorHAnsi"/>
          <w:sz w:val="18"/>
          <w:szCs w:val="18"/>
        </w:rPr>
      </w:pPr>
      <w:r w:rsidRPr="005E098B">
        <w:rPr>
          <w:rFonts w:cstheme="minorHAnsi"/>
          <w:sz w:val="18"/>
          <w:szCs w:val="18"/>
        </w:rPr>
        <w:t>For instance in relation to smoking at 24% this would be √((24* (100-24)/3664) * 1.96 = +/- 1.4% and gives a confidence interval of between 22.6% and 25.4%.</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Unless otherwise stated, percentages cited in the survey relate to those aged 16 or above.</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Information on alcohol relates to those aged 18 and above.</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Information on physical activity and sedentary behaviour relates to those aged 19 and above.</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Information on sexual health relates to those aged 16-55 years.</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Information on BMI relates to adults aged 16 and above who agreed to be weighed and have their height measured.</w:t>
      </w:r>
    </w:p>
    <w:p w:rsidR="003A44C7" w:rsidRPr="005E098B" w:rsidRDefault="003A44C7" w:rsidP="00110DF7">
      <w:pPr>
        <w:pStyle w:val="ListParagraph"/>
        <w:numPr>
          <w:ilvl w:val="0"/>
          <w:numId w:val="7"/>
        </w:numPr>
        <w:spacing w:after="0" w:line="240" w:lineRule="auto"/>
        <w:ind w:left="714" w:hanging="357"/>
        <w:rPr>
          <w:rFonts w:cstheme="minorHAnsi"/>
          <w:sz w:val="18"/>
          <w:szCs w:val="18"/>
        </w:rPr>
      </w:pPr>
      <w:r w:rsidRPr="005E098B">
        <w:rPr>
          <w:rFonts w:cstheme="minorHAnsi"/>
          <w:sz w:val="18"/>
          <w:szCs w:val="18"/>
        </w:rPr>
        <w:t>Information on childhood obesity relates to those aged 2 to 10 years.</w:t>
      </w:r>
    </w:p>
    <w:p w:rsidR="00110DF7" w:rsidRPr="005E098B" w:rsidRDefault="003A44C7" w:rsidP="00555E2B">
      <w:pPr>
        <w:pStyle w:val="ListParagraph"/>
        <w:numPr>
          <w:ilvl w:val="0"/>
          <w:numId w:val="7"/>
        </w:numPr>
        <w:spacing w:after="0" w:line="240" w:lineRule="auto"/>
        <w:ind w:left="714" w:hanging="357"/>
        <w:jc w:val="left"/>
        <w:rPr>
          <w:rFonts w:cstheme="minorHAnsi"/>
          <w:sz w:val="18"/>
          <w:szCs w:val="18"/>
        </w:rPr>
      </w:pPr>
      <w:r w:rsidRPr="005E098B">
        <w:rPr>
          <w:rFonts w:cstheme="minorHAnsi"/>
          <w:sz w:val="18"/>
          <w:szCs w:val="18"/>
        </w:rPr>
        <w:t>Information on how children thought about their weight relates</w:t>
      </w:r>
      <w:r w:rsidR="00555E2B" w:rsidRPr="005E098B">
        <w:rPr>
          <w:rFonts w:cstheme="minorHAnsi"/>
          <w:sz w:val="18"/>
          <w:szCs w:val="18"/>
        </w:rPr>
        <w:t xml:space="preserve"> to children aged 8 to 15 years. </w:t>
      </w:r>
    </w:p>
    <w:sectPr w:rsidR="00110DF7" w:rsidRPr="005E098B" w:rsidSect="00555E2B">
      <w:type w:val="continuous"/>
      <w:pgSz w:w="16838" w:h="11906" w:orient="landscape"/>
      <w:pgMar w:top="737" w:right="851" w:bottom="737" w:left="851" w:header="709" w:footer="709"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132" w:rsidRDefault="00780132" w:rsidP="00AF42BE">
      <w:r>
        <w:separator/>
      </w:r>
    </w:p>
  </w:endnote>
  <w:endnote w:type="continuationSeparator" w:id="0">
    <w:p w:rsidR="00780132" w:rsidRDefault="00780132" w:rsidP="00AF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66" w:rsidRDefault="00912366">
    <w:pPr>
      <w:pStyle w:val="Footer"/>
      <w:jc w:val="center"/>
    </w:pPr>
  </w:p>
  <w:p w:rsidR="00912366" w:rsidRDefault="009123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5799"/>
      <w:docPartObj>
        <w:docPartGallery w:val="Page Numbers (Bottom of Page)"/>
        <w:docPartUnique/>
      </w:docPartObj>
    </w:sdtPr>
    <w:sdtEndPr/>
    <w:sdtContent>
      <w:p w:rsidR="00912366" w:rsidRDefault="00780132">
        <w:pPr>
          <w:pStyle w:val="Footer"/>
          <w:jc w:val="center"/>
        </w:pPr>
        <w:r>
          <w:fldChar w:fldCharType="begin"/>
        </w:r>
        <w:r>
          <w:instrText xml:space="preserve"> PAGE   \* MERGEFORMAT </w:instrText>
        </w:r>
        <w:r>
          <w:fldChar w:fldCharType="separate"/>
        </w:r>
        <w:r w:rsidR="006F13A2">
          <w:rPr>
            <w:noProof/>
          </w:rPr>
          <w:t>43</w:t>
        </w:r>
        <w:r>
          <w:rPr>
            <w:noProof/>
          </w:rPr>
          <w:fldChar w:fldCharType="end"/>
        </w:r>
      </w:p>
    </w:sdtContent>
  </w:sdt>
  <w:p w:rsidR="00912366" w:rsidRDefault="009123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5811"/>
      <w:docPartObj>
        <w:docPartGallery w:val="Page Numbers (Bottom of Page)"/>
        <w:docPartUnique/>
      </w:docPartObj>
    </w:sdtPr>
    <w:sdtEndPr/>
    <w:sdtContent>
      <w:p w:rsidR="00912366" w:rsidRDefault="00780132">
        <w:pPr>
          <w:pStyle w:val="Footer"/>
          <w:jc w:val="center"/>
        </w:pPr>
        <w:r>
          <w:fldChar w:fldCharType="begin"/>
        </w:r>
        <w:r>
          <w:instrText xml:space="preserve"> PAGE   \* MERGEFORMAT </w:instrText>
        </w:r>
        <w:r>
          <w:fldChar w:fldCharType="separate"/>
        </w:r>
        <w:r w:rsidR="00912366">
          <w:rPr>
            <w:noProof/>
          </w:rPr>
          <w:t>55</w:t>
        </w:r>
        <w:r>
          <w:rPr>
            <w:noProof/>
          </w:rPr>
          <w:fldChar w:fldCharType="end"/>
        </w:r>
      </w:p>
    </w:sdtContent>
  </w:sdt>
  <w:p w:rsidR="00912366" w:rsidRDefault="009123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32857"/>
      <w:docPartObj>
        <w:docPartGallery w:val="Page Numbers (Bottom of Page)"/>
        <w:docPartUnique/>
      </w:docPartObj>
    </w:sdtPr>
    <w:sdtEndPr/>
    <w:sdtContent>
      <w:p w:rsidR="00912366" w:rsidRDefault="00780132">
        <w:pPr>
          <w:pStyle w:val="Footer"/>
          <w:jc w:val="center"/>
        </w:pPr>
        <w:r>
          <w:fldChar w:fldCharType="begin"/>
        </w:r>
        <w:r>
          <w:instrText xml:space="preserve"> PAGE   \* MERGEFORMAT </w:instrText>
        </w:r>
        <w:r>
          <w:fldChar w:fldCharType="separate"/>
        </w:r>
        <w:r w:rsidR="00912366">
          <w:rPr>
            <w:noProof/>
          </w:rPr>
          <w:t>106</w:t>
        </w:r>
        <w:r>
          <w:rPr>
            <w:noProof/>
          </w:rPr>
          <w:fldChar w:fldCharType="end"/>
        </w:r>
      </w:p>
    </w:sdtContent>
  </w:sdt>
  <w:p w:rsidR="00912366" w:rsidRDefault="009123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32850"/>
      <w:docPartObj>
        <w:docPartGallery w:val="Page Numbers (Bottom of Page)"/>
        <w:docPartUnique/>
      </w:docPartObj>
    </w:sdtPr>
    <w:sdtEndPr/>
    <w:sdtContent>
      <w:p w:rsidR="00912366" w:rsidRDefault="00780132">
        <w:pPr>
          <w:pStyle w:val="Footer"/>
          <w:jc w:val="center"/>
        </w:pPr>
      </w:p>
    </w:sdtContent>
  </w:sdt>
  <w:p w:rsidR="00912366" w:rsidRDefault="009123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132" w:rsidRDefault="00780132" w:rsidP="00AF42BE">
      <w:r>
        <w:separator/>
      </w:r>
    </w:p>
  </w:footnote>
  <w:footnote w:type="continuationSeparator" w:id="0">
    <w:p w:rsidR="00780132" w:rsidRDefault="00780132" w:rsidP="00AF4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8F5"/>
    <w:multiLevelType w:val="hybridMultilevel"/>
    <w:tmpl w:val="B5EA7C96"/>
    <w:lvl w:ilvl="0" w:tplc="96E20B42">
      <w:start w:val="1"/>
      <w:numFmt w:val="bullet"/>
      <w:lvlText w:val=""/>
      <w:lvlJc w:val="left"/>
      <w:pPr>
        <w:ind w:left="502"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77728A"/>
    <w:multiLevelType w:val="hybridMultilevel"/>
    <w:tmpl w:val="E3863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BE3940"/>
    <w:multiLevelType w:val="hybridMultilevel"/>
    <w:tmpl w:val="1F5C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394640"/>
    <w:multiLevelType w:val="hybridMultilevel"/>
    <w:tmpl w:val="B49685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1EA7ED3"/>
    <w:multiLevelType w:val="hybridMultilevel"/>
    <w:tmpl w:val="7FB4BB9E"/>
    <w:lvl w:ilvl="0" w:tplc="96E20B42">
      <w:start w:val="1"/>
      <w:numFmt w:val="bullet"/>
      <w:lvlText w:val=""/>
      <w:lvlJc w:val="left"/>
      <w:pPr>
        <w:ind w:left="1080" w:hanging="360"/>
      </w:pPr>
      <w:rPr>
        <w:rFonts w:ascii="Wingdings 2" w:hAnsi="Wingdings 2"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75382EA2"/>
    <w:multiLevelType w:val="hybridMultilevel"/>
    <w:tmpl w:val="88B2B846"/>
    <w:lvl w:ilvl="0" w:tplc="96E20B42">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6EF00C6"/>
    <w:multiLevelType w:val="hybridMultilevel"/>
    <w:tmpl w:val="AD2848F2"/>
    <w:lvl w:ilvl="0" w:tplc="96E20B42">
      <w:start w:val="1"/>
      <w:numFmt w:val="bullet"/>
      <w:lvlText w:val=""/>
      <w:lvlJc w:val="left"/>
      <w:pPr>
        <w:ind w:left="3862" w:hanging="360"/>
      </w:pPr>
      <w:rPr>
        <w:rFonts w:ascii="Wingdings 2" w:hAnsi="Wingdings 2" w:hint="default"/>
      </w:rPr>
    </w:lvl>
    <w:lvl w:ilvl="1" w:tplc="08090003" w:tentative="1">
      <w:start w:val="1"/>
      <w:numFmt w:val="bullet"/>
      <w:lvlText w:val="o"/>
      <w:lvlJc w:val="left"/>
      <w:pPr>
        <w:ind w:left="4582" w:hanging="360"/>
      </w:pPr>
      <w:rPr>
        <w:rFonts w:ascii="Courier New" w:hAnsi="Courier New" w:cs="Courier New" w:hint="default"/>
      </w:rPr>
    </w:lvl>
    <w:lvl w:ilvl="2" w:tplc="08090005" w:tentative="1">
      <w:start w:val="1"/>
      <w:numFmt w:val="bullet"/>
      <w:lvlText w:val=""/>
      <w:lvlJc w:val="left"/>
      <w:pPr>
        <w:ind w:left="5302" w:hanging="360"/>
      </w:pPr>
      <w:rPr>
        <w:rFonts w:ascii="Wingdings" w:hAnsi="Wingdings" w:hint="default"/>
      </w:rPr>
    </w:lvl>
    <w:lvl w:ilvl="3" w:tplc="08090001" w:tentative="1">
      <w:start w:val="1"/>
      <w:numFmt w:val="bullet"/>
      <w:lvlText w:val=""/>
      <w:lvlJc w:val="left"/>
      <w:pPr>
        <w:ind w:left="6022" w:hanging="360"/>
      </w:pPr>
      <w:rPr>
        <w:rFonts w:ascii="Symbol" w:hAnsi="Symbol" w:hint="default"/>
      </w:rPr>
    </w:lvl>
    <w:lvl w:ilvl="4" w:tplc="08090003" w:tentative="1">
      <w:start w:val="1"/>
      <w:numFmt w:val="bullet"/>
      <w:lvlText w:val="o"/>
      <w:lvlJc w:val="left"/>
      <w:pPr>
        <w:ind w:left="6742" w:hanging="360"/>
      </w:pPr>
      <w:rPr>
        <w:rFonts w:ascii="Courier New" w:hAnsi="Courier New" w:cs="Courier New" w:hint="default"/>
      </w:rPr>
    </w:lvl>
    <w:lvl w:ilvl="5" w:tplc="08090005" w:tentative="1">
      <w:start w:val="1"/>
      <w:numFmt w:val="bullet"/>
      <w:lvlText w:val=""/>
      <w:lvlJc w:val="left"/>
      <w:pPr>
        <w:ind w:left="7462" w:hanging="360"/>
      </w:pPr>
      <w:rPr>
        <w:rFonts w:ascii="Wingdings" w:hAnsi="Wingdings" w:hint="default"/>
      </w:rPr>
    </w:lvl>
    <w:lvl w:ilvl="6" w:tplc="08090001" w:tentative="1">
      <w:start w:val="1"/>
      <w:numFmt w:val="bullet"/>
      <w:lvlText w:val=""/>
      <w:lvlJc w:val="left"/>
      <w:pPr>
        <w:ind w:left="8182" w:hanging="360"/>
      </w:pPr>
      <w:rPr>
        <w:rFonts w:ascii="Symbol" w:hAnsi="Symbol" w:hint="default"/>
      </w:rPr>
    </w:lvl>
    <w:lvl w:ilvl="7" w:tplc="08090003" w:tentative="1">
      <w:start w:val="1"/>
      <w:numFmt w:val="bullet"/>
      <w:lvlText w:val="o"/>
      <w:lvlJc w:val="left"/>
      <w:pPr>
        <w:ind w:left="8902" w:hanging="360"/>
      </w:pPr>
      <w:rPr>
        <w:rFonts w:ascii="Courier New" w:hAnsi="Courier New" w:cs="Courier New" w:hint="default"/>
      </w:rPr>
    </w:lvl>
    <w:lvl w:ilvl="8" w:tplc="08090005" w:tentative="1">
      <w:start w:val="1"/>
      <w:numFmt w:val="bullet"/>
      <w:lvlText w:val=""/>
      <w:lvlJc w:val="left"/>
      <w:pPr>
        <w:ind w:left="9622"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99"/>
    <w:rsid w:val="00002695"/>
    <w:rsid w:val="00005C0C"/>
    <w:rsid w:val="000104DC"/>
    <w:rsid w:val="00013BA3"/>
    <w:rsid w:val="00017260"/>
    <w:rsid w:val="00021391"/>
    <w:rsid w:val="00023227"/>
    <w:rsid w:val="00030566"/>
    <w:rsid w:val="00032ADB"/>
    <w:rsid w:val="00035B94"/>
    <w:rsid w:val="000360EE"/>
    <w:rsid w:val="00036611"/>
    <w:rsid w:val="00037437"/>
    <w:rsid w:val="00042064"/>
    <w:rsid w:val="00042709"/>
    <w:rsid w:val="000447D5"/>
    <w:rsid w:val="00045FEB"/>
    <w:rsid w:val="00046884"/>
    <w:rsid w:val="00050DF5"/>
    <w:rsid w:val="000510DC"/>
    <w:rsid w:val="00057794"/>
    <w:rsid w:val="00067569"/>
    <w:rsid w:val="00067C88"/>
    <w:rsid w:val="00067FF5"/>
    <w:rsid w:val="000706BC"/>
    <w:rsid w:val="0007209D"/>
    <w:rsid w:val="000777BA"/>
    <w:rsid w:val="00077E6F"/>
    <w:rsid w:val="000800E9"/>
    <w:rsid w:val="000807F8"/>
    <w:rsid w:val="00083236"/>
    <w:rsid w:val="00086A25"/>
    <w:rsid w:val="00090158"/>
    <w:rsid w:val="00090B2D"/>
    <w:rsid w:val="00093078"/>
    <w:rsid w:val="000964E0"/>
    <w:rsid w:val="000A0B8E"/>
    <w:rsid w:val="000A2BF0"/>
    <w:rsid w:val="000A3468"/>
    <w:rsid w:val="000A3504"/>
    <w:rsid w:val="000A3A49"/>
    <w:rsid w:val="000B06A5"/>
    <w:rsid w:val="000B0A78"/>
    <w:rsid w:val="000B1F77"/>
    <w:rsid w:val="000B2FD9"/>
    <w:rsid w:val="000B396F"/>
    <w:rsid w:val="000B3DB5"/>
    <w:rsid w:val="000B6164"/>
    <w:rsid w:val="000B6E55"/>
    <w:rsid w:val="000C046F"/>
    <w:rsid w:val="000C4F6B"/>
    <w:rsid w:val="000C7D44"/>
    <w:rsid w:val="000D49E9"/>
    <w:rsid w:val="000D5397"/>
    <w:rsid w:val="000E1384"/>
    <w:rsid w:val="000E7350"/>
    <w:rsid w:val="000E7D91"/>
    <w:rsid w:val="001007B3"/>
    <w:rsid w:val="001021A4"/>
    <w:rsid w:val="00102659"/>
    <w:rsid w:val="00103B9F"/>
    <w:rsid w:val="00105049"/>
    <w:rsid w:val="00110537"/>
    <w:rsid w:val="00110DF7"/>
    <w:rsid w:val="0011354D"/>
    <w:rsid w:val="00115A59"/>
    <w:rsid w:val="0011605C"/>
    <w:rsid w:val="00120F18"/>
    <w:rsid w:val="00122CB8"/>
    <w:rsid w:val="001251FD"/>
    <w:rsid w:val="00125501"/>
    <w:rsid w:val="00126DCC"/>
    <w:rsid w:val="00132A9D"/>
    <w:rsid w:val="001349C1"/>
    <w:rsid w:val="001371B8"/>
    <w:rsid w:val="00137E3D"/>
    <w:rsid w:val="00141871"/>
    <w:rsid w:val="00142C69"/>
    <w:rsid w:val="00143813"/>
    <w:rsid w:val="00144017"/>
    <w:rsid w:val="001442A0"/>
    <w:rsid w:val="001469F7"/>
    <w:rsid w:val="0014724A"/>
    <w:rsid w:val="00147621"/>
    <w:rsid w:val="00150BD5"/>
    <w:rsid w:val="00150BED"/>
    <w:rsid w:val="001527A6"/>
    <w:rsid w:val="00152CF6"/>
    <w:rsid w:val="001547DE"/>
    <w:rsid w:val="00156530"/>
    <w:rsid w:val="00161C55"/>
    <w:rsid w:val="0016548D"/>
    <w:rsid w:val="0016551B"/>
    <w:rsid w:val="00165F51"/>
    <w:rsid w:val="001664EA"/>
    <w:rsid w:val="001668DD"/>
    <w:rsid w:val="00167E5E"/>
    <w:rsid w:val="001724A9"/>
    <w:rsid w:val="00172630"/>
    <w:rsid w:val="00174A84"/>
    <w:rsid w:val="00175B90"/>
    <w:rsid w:val="00175E97"/>
    <w:rsid w:val="00177E32"/>
    <w:rsid w:val="0018068F"/>
    <w:rsid w:val="00180E51"/>
    <w:rsid w:val="00184724"/>
    <w:rsid w:val="00192DE9"/>
    <w:rsid w:val="001A02F1"/>
    <w:rsid w:val="001A04E2"/>
    <w:rsid w:val="001A1C68"/>
    <w:rsid w:val="001A2005"/>
    <w:rsid w:val="001A45F5"/>
    <w:rsid w:val="001A567B"/>
    <w:rsid w:val="001A5D34"/>
    <w:rsid w:val="001A74D8"/>
    <w:rsid w:val="001B1E60"/>
    <w:rsid w:val="001B3816"/>
    <w:rsid w:val="001B39F2"/>
    <w:rsid w:val="001B437F"/>
    <w:rsid w:val="001B62AB"/>
    <w:rsid w:val="001C0CA2"/>
    <w:rsid w:val="001C1E82"/>
    <w:rsid w:val="001D101C"/>
    <w:rsid w:val="001D3266"/>
    <w:rsid w:val="001D3C58"/>
    <w:rsid w:val="001D5A19"/>
    <w:rsid w:val="001D6F77"/>
    <w:rsid w:val="001D7F3A"/>
    <w:rsid w:val="001E0ABF"/>
    <w:rsid w:val="001E218E"/>
    <w:rsid w:val="001F2CC3"/>
    <w:rsid w:val="001F40E1"/>
    <w:rsid w:val="001F4FFA"/>
    <w:rsid w:val="001F538D"/>
    <w:rsid w:val="001F566A"/>
    <w:rsid w:val="001F73A7"/>
    <w:rsid w:val="001F7793"/>
    <w:rsid w:val="00203EA7"/>
    <w:rsid w:val="0020699A"/>
    <w:rsid w:val="00206BAD"/>
    <w:rsid w:val="00207B24"/>
    <w:rsid w:val="00211E25"/>
    <w:rsid w:val="00213268"/>
    <w:rsid w:val="002149BD"/>
    <w:rsid w:val="00217796"/>
    <w:rsid w:val="00220258"/>
    <w:rsid w:val="00221DC7"/>
    <w:rsid w:val="002226D2"/>
    <w:rsid w:val="0022680D"/>
    <w:rsid w:val="00230865"/>
    <w:rsid w:val="0023175B"/>
    <w:rsid w:val="00233ACE"/>
    <w:rsid w:val="0023560F"/>
    <w:rsid w:val="00237555"/>
    <w:rsid w:val="002407ED"/>
    <w:rsid w:val="0024600E"/>
    <w:rsid w:val="0025177B"/>
    <w:rsid w:val="0025370E"/>
    <w:rsid w:val="00253812"/>
    <w:rsid w:val="0026085B"/>
    <w:rsid w:val="002644EC"/>
    <w:rsid w:val="002653B6"/>
    <w:rsid w:val="00265ED5"/>
    <w:rsid w:val="00272507"/>
    <w:rsid w:val="002729FE"/>
    <w:rsid w:val="0027487D"/>
    <w:rsid w:val="002828BD"/>
    <w:rsid w:val="0028331F"/>
    <w:rsid w:val="002A3605"/>
    <w:rsid w:val="002A4F26"/>
    <w:rsid w:val="002A52A7"/>
    <w:rsid w:val="002A55D8"/>
    <w:rsid w:val="002B1789"/>
    <w:rsid w:val="002B57CC"/>
    <w:rsid w:val="002C170D"/>
    <w:rsid w:val="002C2D20"/>
    <w:rsid w:val="002C4EE1"/>
    <w:rsid w:val="002D015A"/>
    <w:rsid w:val="002D1EE0"/>
    <w:rsid w:val="002D2774"/>
    <w:rsid w:val="002D4993"/>
    <w:rsid w:val="002D615F"/>
    <w:rsid w:val="002E0996"/>
    <w:rsid w:val="002E3624"/>
    <w:rsid w:val="002E38B0"/>
    <w:rsid w:val="002E59A9"/>
    <w:rsid w:val="002F09A3"/>
    <w:rsid w:val="002F1093"/>
    <w:rsid w:val="002F1A80"/>
    <w:rsid w:val="002F3AE9"/>
    <w:rsid w:val="002F6D8F"/>
    <w:rsid w:val="00305BC9"/>
    <w:rsid w:val="0030720E"/>
    <w:rsid w:val="003202D8"/>
    <w:rsid w:val="00320F0F"/>
    <w:rsid w:val="003234BF"/>
    <w:rsid w:val="00324F73"/>
    <w:rsid w:val="00325849"/>
    <w:rsid w:val="00326A35"/>
    <w:rsid w:val="00330831"/>
    <w:rsid w:val="00330BAF"/>
    <w:rsid w:val="00340FB7"/>
    <w:rsid w:val="003417B9"/>
    <w:rsid w:val="003457EE"/>
    <w:rsid w:val="00346147"/>
    <w:rsid w:val="003564A5"/>
    <w:rsid w:val="00360319"/>
    <w:rsid w:val="00361E62"/>
    <w:rsid w:val="00364AA3"/>
    <w:rsid w:val="00365375"/>
    <w:rsid w:val="00365722"/>
    <w:rsid w:val="00366E76"/>
    <w:rsid w:val="00367A8E"/>
    <w:rsid w:val="00374317"/>
    <w:rsid w:val="00374F37"/>
    <w:rsid w:val="0037749B"/>
    <w:rsid w:val="00380739"/>
    <w:rsid w:val="00380D00"/>
    <w:rsid w:val="00383EB1"/>
    <w:rsid w:val="00385F23"/>
    <w:rsid w:val="00390551"/>
    <w:rsid w:val="00391573"/>
    <w:rsid w:val="00391AFF"/>
    <w:rsid w:val="003A21BE"/>
    <w:rsid w:val="003A44C7"/>
    <w:rsid w:val="003A739A"/>
    <w:rsid w:val="003A76D9"/>
    <w:rsid w:val="003A7A6A"/>
    <w:rsid w:val="003A7E92"/>
    <w:rsid w:val="003B362E"/>
    <w:rsid w:val="003B5028"/>
    <w:rsid w:val="003C264D"/>
    <w:rsid w:val="003C3221"/>
    <w:rsid w:val="003C73B1"/>
    <w:rsid w:val="003C7526"/>
    <w:rsid w:val="003D0F00"/>
    <w:rsid w:val="003D5C97"/>
    <w:rsid w:val="003D5CC0"/>
    <w:rsid w:val="003D5F44"/>
    <w:rsid w:val="003E3B40"/>
    <w:rsid w:val="003F325C"/>
    <w:rsid w:val="003F36AB"/>
    <w:rsid w:val="003F5607"/>
    <w:rsid w:val="003F67A2"/>
    <w:rsid w:val="003F714B"/>
    <w:rsid w:val="0040091B"/>
    <w:rsid w:val="00401B84"/>
    <w:rsid w:val="00401B97"/>
    <w:rsid w:val="0040507D"/>
    <w:rsid w:val="00405A80"/>
    <w:rsid w:val="00406DE6"/>
    <w:rsid w:val="00411D1D"/>
    <w:rsid w:val="00413174"/>
    <w:rsid w:val="00416216"/>
    <w:rsid w:val="0041780B"/>
    <w:rsid w:val="004314B8"/>
    <w:rsid w:val="00436329"/>
    <w:rsid w:val="004366B6"/>
    <w:rsid w:val="004366F1"/>
    <w:rsid w:val="00440908"/>
    <w:rsid w:val="00441ACD"/>
    <w:rsid w:val="00453262"/>
    <w:rsid w:val="00454707"/>
    <w:rsid w:val="00457C4E"/>
    <w:rsid w:val="00460972"/>
    <w:rsid w:val="00462493"/>
    <w:rsid w:val="00464544"/>
    <w:rsid w:val="00466043"/>
    <w:rsid w:val="0047018D"/>
    <w:rsid w:val="0047039D"/>
    <w:rsid w:val="004719F4"/>
    <w:rsid w:val="0047662A"/>
    <w:rsid w:val="004766DB"/>
    <w:rsid w:val="004768EF"/>
    <w:rsid w:val="00477820"/>
    <w:rsid w:val="0048096C"/>
    <w:rsid w:val="004821E5"/>
    <w:rsid w:val="00485126"/>
    <w:rsid w:val="00485449"/>
    <w:rsid w:val="00486F4E"/>
    <w:rsid w:val="00496682"/>
    <w:rsid w:val="004A1134"/>
    <w:rsid w:val="004A3386"/>
    <w:rsid w:val="004A363D"/>
    <w:rsid w:val="004A37EA"/>
    <w:rsid w:val="004A6388"/>
    <w:rsid w:val="004B0E96"/>
    <w:rsid w:val="004B3F7F"/>
    <w:rsid w:val="004B459F"/>
    <w:rsid w:val="004C2958"/>
    <w:rsid w:val="004C43A6"/>
    <w:rsid w:val="004C683D"/>
    <w:rsid w:val="004C75CE"/>
    <w:rsid w:val="004D03C2"/>
    <w:rsid w:val="004D0C0F"/>
    <w:rsid w:val="004D3D47"/>
    <w:rsid w:val="004D4A5B"/>
    <w:rsid w:val="004E0D89"/>
    <w:rsid w:val="004E2A30"/>
    <w:rsid w:val="004E34B2"/>
    <w:rsid w:val="004E390C"/>
    <w:rsid w:val="004E3FFE"/>
    <w:rsid w:val="004E4952"/>
    <w:rsid w:val="004F1B98"/>
    <w:rsid w:val="004F1DAE"/>
    <w:rsid w:val="004F505F"/>
    <w:rsid w:val="00501465"/>
    <w:rsid w:val="00501FF6"/>
    <w:rsid w:val="00504AF7"/>
    <w:rsid w:val="005074E0"/>
    <w:rsid w:val="00513DC1"/>
    <w:rsid w:val="0051526E"/>
    <w:rsid w:val="00516F6B"/>
    <w:rsid w:val="00520113"/>
    <w:rsid w:val="00520311"/>
    <w:rsid w:val="005212CB"/>
    <w:rsid w:val="00521D47"/>
    <w:rsid w:val="00526D35"/>
    <w:rsid w:val="00537D48"/>
    <w:rsid w:val="00540548"/>
    <w:rsid w:val="00540A21"/>
    <w:rsid w:val="00540A7B"/>
    <w:rsid w:val="0054120E"/>
    <w:rsid w:val="005465C8"/>
    <w:rsid w:val="005470B7"/>
    <w:rsid w:val="00555E2B"/>
    <w:rsid w:val="00556A96"/>
    <w:rsid w:val="00556CB2"/>
    <w:rsid w:val="00557200"/>
    <w:rsid w:val="0056242F"/>
    <w:rsid w:val="00563BED"/>
    <w:rsid w:val="005640BA"/>
    <w:rsid w:val="00565D64"/>
    <w:rsid w:val="005676F2"/>
    <w:rsid w:val="00571CF1"/>
    <w:rsid w:val="00577EB9"/>
    <w:rsid w:val="00582999"/>
    <w:rsid w:val="00583D42"/>
    <w:rsid w:val="00584D85"/>
    <w:rsid w:val="00584EA0"/>
    <w:rsid w:val="00585CBD"/>
    <w:rsid w:val="00586286"/>
    <w:rsid w:val="005873E4"/>
    <w:rsid w:val="00595404"/>
    <w:rsid w:val="005961C7"/>
    <w:rsid w:val="00597CCA"/>
    <w:rsid w:val="005A2D37"/>
    <w:rsid w:val="005A3BAC"/>
    <w:rsid w:val="005A6353"/>
    <w:rsid w:val="005A6DDA"/>
    <w:rsid w:val="005B1F78"/>
    <w:rsid w:val="005B29A9"/>
    <w:rsid w:val="005B3178"/>
    <w:rsid w:val="005B70A9"/>
    <w:rsid w:val="005B7FCD"/>
    <w:rsid w:val="005C002F"/>
    <w:rsid w:val="005C06A9"/>
    <w:rsid w:val="005C3462"/>
    <w:rsid w:val="005C4899"/>
    <w:rsid w:val="005C7F16"/>
    <w:rsid w:val="005D06D1"/>
    <w:rsid w:val="005D60A8"/>
    <w:rsid w:val="005E098B"/>
    <w:rsid w:val="005E12DD"/>
    <w:rsid w:val="005E3F12"/>
    <w:rsid w:val="005E7070"/>
    <w:rsid w:val="005E7567"/>
    <w:rsid w:val="005F15DF"/>
    <w:rsid w:val="005F221C"/>
    <w:rsid w:val="005F2393"/>
    <w:rsid w:val="005F315B"/>
    <w:rsid w:val="005F5778"/>
    <w:rsid w:val="0060734B"/>
    <w:rsid w:val="006122B7"/>
    <w:rsid w:val="00614737"/>
    <w:rsid w:val="0062310C"/>
    <w:rsid w:val="00623214"/>
    <w:rsid w:val="00623F48"/>
    <w:rsid w:val="00625DB9"/>
    <w:rsid w:val="00626C3E"/>
    <w:rsid w:val="0062753F"/>
    <w:rsid w:val="006336B0"/>
    <w:rsid w:val="00635CD1"/>
    <w:rsid w:val="00636F42"/>
    <w:rsid w:val="00637F1F"/>
    <w:rsid w:val="00640494"/>
    <w:rsid w:val="006415E0"/>
    <w:rsid w:val="006427B7"/>
    <w:rsid w:val="006472F8"/>
    <w:rsid w:val="00650139"/>
    <w:rsid w:val="00652CAA"/>
    <w:rsid w:val="00656FC3"/>
    <w:rsid w:val="006577C6"/>
    <w:rsid w:val="00663265"/>
    <w:rsid w:val="00665229"/>
    <w:rsid w:val="00667167"/>
    <w:rsid w:val="0067026A"/>
    <w:rsid w:val="00670BF2"/>
    <w:rsid w:val="006731EE"/>
    <w:rsid w:val="00675CE8"/>
    <w:rsid w:val="00676073"/>
    <w:rsid w:val="0067690C"/>
    <w:rsid w:val="00677E21"/>
    <w:rsid w:val="006802FF"/>
    <w:rsid w:val="00681CF2"/>
    <w:rsid w:val="006822C7"/>
    <w:rsid w:val="00683904"/>
    <w:rsid w:val="00684604"/>
    <w:rsid w:val="00684B5E"/>
    <w:rsid w:val="00687E54"/>
    <w:rsid w:val="00692A8F"/>
    <w:rsid w:val="00694BEC"/>
    <w:rsid w:val="00695E1E"/>
    <w:rsid w:val="006970D4"/>
    <w:rsid w:val="00697328"/>
    <w:rsid w:val="006974DA"/>
    <w:rsid w:val="00697C7E"/>
    <w:rsid w:val="006A0022"/>
    <w:rsid w:val="006A3F66"/>
    <w:rsid w:val="006B5771"/>
    <w:rsid w:val="006C0004"/>
    <w:rsid w:val="006C2EC0"/>
    <w:rsid w:val="006C5278"/>
    <w:rsid w:val="006C581C"/>
    <w:rsid w:val="006C632C"/>
    <w:rsid w:val="006C676D"/>
    <w:rsid w:val="006D0524"/>
    <w:rsid w:val="006D31CB"/>
    <w:rsid w:val="006D4BAE"/>
    <w:rsid w:val="006D7790"/>
    <w:rsid w:val="006E301E"/>
    <w:rsid w:val="006E3E56"/>
    <w:rsid w:val="006E4D2E"/>
    <w:rsid w:val="006E5B24"/>
    <w:rsid w:val="006E60A7"/>
    <w:rsid w:val="006E723F"/>
    <w:rsid w:val="006F0A92"/>
    <w:rsid w:val="006F13A2"/>
    <w:rsid w:val="006F2A1D"/>
    <w:rsid w:val="006F4D42"/>
    <w:rsid w:val="006F53AF"/>
    <w:rsid w:val="006F6E9C"/>
    <w:rsid w:val="006F6FED"/>
    <w:rsid w:val="00701171"/>
    <w:rsid w:val="007033B0"/>
    <w:rsid w:val="007055FD"/>
    <w:rsid w:val="00707A8B"/>
    <w:rsid w:val="007103C1"/>
    <w:rsid w:val="00712025"/>
    <w:rsid w:val="00712127"/>
    <w:rsid w:val="007152C5"/>
    <w:rsid w:val="00715961"/>
    <w:rsid w:val="0072036E"/>
    <w:rsid w:val="00720CE2"/>
    <w:rsid w:val="0072348A"/>
    <w:rsid w:val="007234A4"/>
    <w:rsid w:val="007354C0"/>
    <w:rsid w:val="0073799B"/>
    <w:rsid w:val="00737AE2"/>
    <w:rsid w:val="00740906"/>
    <w:rsid w:val="00740F6A"/>
    <w:rsid w:val="00741DAB"/>
    <w:rsid w:val="0074247A"/>
    <w:rsid w:val="00743E5F"/>
    <w:rsid w:val="00744840"/>
    <w:rsid w:val="00751A04"/>
    <w:rsid w:val="00752434"/>
    <w:rsid w:val="0075260D"/>
    <w:rsid w:val="00755742"/>
    <w:rsid w:val="00756858"/>
    <w:rsid w:val="00757D70"/>
    <w:rsid w:val="00760B0D"/>
    <w:rsid w:val="00760B36"/>
    <w:rsid w:val="00761044"/>
    <w:rsid w:val="00766D27"/>
    <w:rsid w:val="00767C8C"/>
    <w:rsid w:val="00773117"/>
    <w:rsid w:val="00773C62"/>
    <w:rsid w:val="00774F94"/>
    <w:rsid w:val="00775FE4"/>
    <w:rsid w:val="00777063"/>
    <w:rsid w:val="00780132"/>
    <w:rsid w:val="00781130"/>
    <w:rsid w:val="00781785"/>
    <w:rsid w:val="00784620"/>
    <w:rsid w:val="0078635B"/>
    <w:rsid w:val="007868F7"/>
    <w:rsid w:val="00790432"/>
    <w:rsid w:val="0079170B"/>
    <w:rsid w:val="00796E3D"/>
    <w:rsid w:val="007A2162"/>
    <w:rsid w:val="007A412E"/>
    <w:rsid w:val="007A471D"/>
    <w:rsid w:val="007A7167"/>
    <w:rsid w:val="007A7755"/>
    <w:rsid w:val="007B1099"/>
    <w:rsid w:val="007B16D1"/>
    <w:rsid w:val="007B173E"/>
    <w:rsid w:val="007B21F1"/>
    <w:rsid w:val="007B4F5A"/>
    <w:rsid w:val="007B5DA3"/>
    <w:rsid w:val="007B71D3"/>
    <w:rsid w:val="007B78E1"/>
    <w:rsid w:val="007C0F71"/>
    <w:rsid w:val="007C791A"/>
    <w:rsid w:val="007D0A5E"/>
    <w:rsid w:val="007D2F1D"/>
    <w:rsid w:val="007D51CB"/>
    <w:rsid w:val="007D6E63"/>
    <w:rsid w:val="007D7024"/>
    <w:rsid w:val="007D7EE4"/>
    <w:rsid w:val="007E1ABE"/>
    <w:rsid w:val="007E37F7"/>
    <w:rsid w:val="007E53AF"/>
    <w:rsid w:val="007E574D"/>
    <w:rsid w:val="007E5F1A"/>
    <w:rsid w:val="007E7DA4"/>
    <w:rsid w:val="007F069B"/>
    <w:rsid w:val="007F1207"/>
    <w:rsid w:val="007F1B8D"/>
    <w:rsid w:val="007F7D33"/>
    <w:rsid w:val="008000DD"/>
    <w:rsid w:val="008004C4"/>
    <w:rsid w:val="008015A9"/>
    <w:rsid w:val="00807533"/>
    <w:rsid w:val="00812E15"/>
    <w:rsid w:val="0081352D"/>
    <w:rsid w:val="00817459"/>
    <w:rsid w:val="00820002"/>
    <w:rsid w:val="00822D64"/>
    <w:rsid w:val="00823031"/>
    <w:rsid w:val="00830F4A"/>
    <w:rsid w:val="00831425"/>
    <w:rsid w:val="00831BDA"/>
    <w:rsid w:val="00835958"/>
    <w:rsid w:val="00835A83"/>
    <w:rsid w:val="00840B1E"/>
    <w:rsid w:val="008412AA"/>
    <w:rsid w:val="008415B8"/>
    <w:rsid w:val="008426A2"/>
    <w:rsid w:val="00843265"/>
    <w:rsid w:val="00844FD4"/>
    <w:rsid w:val="0084705E"/>
    <w:rsid w:val="00850B40"/>
    <w:rsid w:val="00851207"/>
    <w:rsid w:val="0085187E"/>
    <w:rsid w:val="00852639"/>
    <w:rsid w:val="00854083"/>
    <w:rsid w:val="00854489"/>
    <w:rsid w:val="0085599C"/>
    <w:rsid w:val="00855EED"/>
    <w:rsid w:val="008563E8"/>
    <w:rsid w:val="0085697D"/>
    <w:rsid w:val="008608E6"/>
    <w:rsid w:val="00861D0F"/>
    <w:rsid w:val="008621C5"/>
    <w:rsid w:val="008624F5"/>
    <w:rsid w:val="008669BB"/>
    <w:rsid w:val="00871720"/>
    <w:rsid w:val="00873259"/>
    <w:rsid w:val="00873670"/>
    <w:rsid w:val="00873946"/>
    <w:rsid w:val="00874916"/>
    <w:rsid w:val="00875C99"/>
    <w:rsid w:val="00880188"/>
    <w:rsid w:val="00881943"/>
    <w:rsid w:val="00884420"/>
    <w:rsid w:val="00892081"/>
    <w:rsid w:val="0089224E"/>
    <w:rsid w:val="0089241D"/>
    <w:rsid w:val="008953F3"/>
    <w:rsid w:val="008977CA"/>
    <w:rsid w:val="008A1F6F"/>
    <w:rsid w:val="008A2983"/>
    <w:rsid w:val="008A4110"/>
    <w:rsid w:val="008A4176"/>
    <w:rsid w:val="008A66DE"/>
    <w:rsid w:val="008A7352"/>
    <w:rsid w:val="008A7F67"/>
    <w:rsid w:val="008B42C3"/>
    <w:rsid w:val="008B444F"/>
    <w:rsid w:val="008B5D9B"/>
    <w:rsid w:val="008C0731"/>
    <w:rsid w:val="008C1B73"/>
    <w:rsid w:val="008C1E95"/>
    <w:rsid w:val="008C24F4"/>
    <w:rsid w:val="008C6564"/>
    <w:rsid w:val="008D09E1"/>
    <w:rsid w:val="008D181E"/>
    <w:rsid w:val="008D1EB6"/>
    <w:rsid w:val="008D494D"/>
    <w:rsid w:val="008D74A9"/>
    <w:rsid w:val="008E006C"/>
    <w:rsid w:val="008E184F"/>
    <w:rsid w:val="008E5913"/>
    <w:rsid w:val="008E735B"/>
    <w:rsid w:val="008E7DC9"/>
    <w:rsid w:val="008F18E5"/>
    <w:rsid w:val="008F3ABC"/>
    <w:rsid w:val="008F415B"/>
    <w:rsid w:val="008F4E34"/>
    <w:rsid w:val="009017A7"/>
    <w:rsid w:val="009017C0"/>
    <w:rsid w:val="00905268"/>
    <w:rsid w:val="009057A9"/>
    <w:rsid w:val="0090717A"/>
    <w:rsid w:val="00912366"/>
    <w:rsid w:val="0091260E"/>
    <w:rsid w:val="00914504"/>
    <w:rsid w:val="009154DB"/>
    <w:rsid w:val="00917CE8"/>
    <w:rsid w:val="009209FB"/>
    <w:rsid w:val="0092141F"/>
    <w:rsid w:val="009230CB"/>
    <w:rsid w:val="009236B4"/>
    <w:rsid w:val="009272BF"/>
    <w:rsid w:val="00933AA9"/>
    <w:rsid w:val="00934166"/>
    <w:rsid w:val="00937072"/>
    <w:rsid w:val="00942E83"/>
    <w:rsid w:val="00943C04"/>
    <w:rsid w:val="00944596"/>
    <w:rsid w:val="00945A6F"/>
    <w:rsid w:val="0094634E"/>
    <w:rsid w:val="00946C19"/>
    <w:rsid w:val="0094715E"/>
    <w:rsid w:val="00947F9F"/>
    <w:rsid w:val="009515D1"/>
    <w:rsid w:val="00951E81"/>
    <w:rsid w:val="00953661"/>
    <w:rsid w:val="0095371B"/>
    <w:rsid w:val="0095409F"/>
    <w:rsid w:val="0095656E"/>
    <w:rsid w:val="0096034D"/>
    <w:rsid w:val="00961D3F"/>
    <w:rsid w:val="00961FF1"/>
    <w:rsid w:val="00962CF3"/>
    <w:rsid w:val="00963651"/>
    <w:rsid w:val="00966E24"/>
    <w:rsid w:val="00967502"/>
    <w:rsid w:val="00975174"/>
    <w:rsid w:val="00977928"/>
    <w:rsid w:val="00990F98"/>
    <w:rsid w:val="0099305C"/>
    <w:rsid w:val="009A3A3F"/>
    <w:rsid w:val="009A3F51"/>
    <w:rsid w:val="009A5088"/>
    <w:rsid w:val="009A707C"/>
    <w:rsid w:val="009A76F7"/>
    <w:rsid w:val="009B008C"/>
    <w:rsid w:val="009B129A"/>
    <w:rsid w:val="009B1C0F"/>
    <w:rsid w:val="009C0866"/>
    <w:rsid w:val="009C2904"/>
    <w:rsid w:val="009C339F"/>
    <w:rsid w:val="009D01E1"/>
    <w:rsid w:val="009D45F0"/>
    <w:rsid w:val="009D48BE"/>
    <w:rsid w:val="009E3D07"/>
    <w:rsid w:val="009E3FEA"/>
    <w:rsid w:val="009E42A0"/>
    <w:rsid w:val="009E6340"/>
    <w:rsid w:val="009E7A91"/>
    <w:rsid w:val="009F07B0"/>
    <w:rsid w:val="009F2918"/>
    <w:rsid w:val="00A02F0C"/>
    <w:rsid w:val="00A05C38"/>
    <w:rsid w:val="00A0643C"/>
    <w:rsid w:val="00A077BA"/>
    <w:rsid w:val="00A12F87"/>
    <w:rsid w:val="00A1454F"/>
    <w:rsid w:val="00A14946"/>
    <w:rsid w:val="00A15454"/>
    <w:rsid w:val="00A20B34"/>
    <w:rsid w:val="00A23137"/>
    <w:rsid w:val="00A25AFF"/>
    <w:rsid w:val="00A26578"/>
    <w:rsid w:val="00A26835"/>
    <w:rsid w:val="00A27D02"/>
    <w:rsid w:val="00A3056D"/>
    <w:rsid w:val="00A34A56"/>
    <w:rsid w:val="00A36367"/>
    <w:rsid w:val="00A36AAE"/>
    <w:rsid w:val="00A45E6A"/>
    <w:rsid w:val="00A46A4C"/>
    <w:rsid w:val="00A50A90"/>
    <w:rsid w:val="00A5122C"/>
    <w:rsid w:val="00A513BC"/>
    <w:rsid w:val="00A54B4E"/>
    <w:rsid w:val="00A5639D"/>
    <w:rsid w:val="00A57297"/>
    <w:rsid w:val="00A5757E"/>
    <w:rsid w:val="00A57613"/>
    <w:rsid w:val="00A6038F"/>
    <w:rsid w:val="00A642E9"/>
    <w:rsid w:val="00A643BE"/>
    <w:rsid w:val="00A64797"/>
    <w:rsid w:val="00A64BD0"/>
    <w:rsid w:val="00A66C21"/>
    <w:rsid w:val="00A713ED"/>
    <w:rsid w:val="00A75F1B"/>
    <w:rsid w:val="00A763D4"/>
    <w:rsid w:val="00A84508"/>
    <w:rsid w:val="00A84A14"/>
    <w:rsid w:val="00A929E6"/>
    <w:rsid w:val="00A92EE2"/>
    <w:rsid w:val="00A9317D"/>
    <w:rsid w:val="00A96E35"/>
    <w:rsid w:val="00AA07BB"/>
    <w:rsid w:val="00AA6C35"/>
    <w:rsid w:val="00AA7519"/>
    <w:rsid w:val="00AB0269"/>
    <w:rsid w:val="00AB341A"/>
    <w:rsid w:val="00AB41D5"/>
    <w:rsid w:val="00AB49E8"/>
    <w:rsid w:val="00AB4B71"/>
    <w:rsid w:val="00AC756F"/>
    <w:rsid w:val="00AD1F6D"/>
    <w:rsid w:val="00AD2424"/>
    <w:rsid w:val="00AD2B70"/>
    <w:rsid w:val="00AD2E81"/>
    <w:rsid w:val="00AD4073"/>
    <w:rsid w:val="00AD452A"/>
    <w:rsid w:val="00AD4B06"/>
    <w:rsid w:val="00AD53D4"/>
    <w:rsid w:val="00AD6B63"/>
    <w:rsid w:val="00AE07CF"/>
    <w:rsid w:val="00AE3C77"/>
    <w:rsid w:val="00AE5F72"/>
    <w:rsid w:val="00AE6BB4"/>
    <w:rsid w:val="00AF0035"/>
    <w:rsid w:val="00AF42BE"/>
    <w:rsid w:val="00AF5AA6"/>
    <w:rsid w:val="00AF7778"/>
    <w:rsid w:val="00B00801"/>
    <w:rsid w:val="00B03E8F"/>
    <w:rsid w:val="00B057CD"/>
    <w:rsid w:val="00B149EB"/>
    <w:rsid w:val="00B23309"/>
    <w:rsid w:val="00B27573"/>
    <w:rsid w:val="00B405D9"/>
    <w:rsid w:val="00B41CD5"/>
    <w:rsid w:val="00B4319A"/>
    <w:rsid w:val="00B518C8"/>
    <w:rsid w:val="00B51BD2"/>
    <w:rsid w:val="00B51E2F"/>
    <w:rsid w:val="00B5309E"/>
    <w:rsid w:val="00B533CA"/>
    <w:rsid w:val="00B5418F"/>
    <w:rsid w:val="00B549BA"/>
    <w:rsid w:val="00B55745"/>
    <w:rsid w:val="00B56360"/>
    <w:rsid w:val="00B564CC"/>
    <w:rsid w:val="00B60CD4"/>
    <w:rsid w:val="00B63819"/>
    <w:rsid w:val="00B64027"/>
    <w:rsid w:val="00B71B11"/>
    <w:rsid w:val="00B728CF"/>
    <w:rsid w:val="00B75E69"/>
    <w:rsid w:val="00B779DB"/>
    <w:rsid w:val="00B77CB7"/>
    <w:rsid w:val="00B82236"/>
    <w:rsid w:val="00B82FE5"/>
    <w:rsid w:val="00B8333A"/>
    <w:rsid w:val="00B86EF8"/>
    <w:rsid w:val="00B874BA"/>
    <w:rsid w:val="00B9001C"/>
    <w:rsid w:val="00B90186"/>
    <w:rsid w:val="00B90A2F"/>
    <w:rsid w:val="00B90C11"/>
    <w:rsid w:val="00B91271"/>
    <w:rsid w:val="00B929EC"/>
    <w:rsid w:val="00BA5E1E"/>
    <w:rsid w:val="00BA7B1A"/>
    <w:rsid w:val="00BB19E4"/>
    <w:rsid w:val="00BB28A9"/>
    <w:rsid w:val="00BB301C"/>
    <w:rsid w:val="00BB5591"/>
    <w:rsid w:val="00BC2851"/>
    <w:rsid w:val="00BC2FBD"/>
    <w:rsid w:val="00BC60CE"/>
    <w:rsid w:val="00BD3382"/>
    <w:rsid w:val="00BE1A84"/>
    <w:rsid w:val="00BE514D"/>
    <w:rsid w:val="00BF040C"/>
    <w:rsid w:val="00BF15D9"/>
    <w:rsid w:val="00BF3EB7"/>
    <w:rsid w:val="00C00F9F"/>
    <w:rsid w:val="00C01809"/>
    <w:rsid w:val="00C03FB5"/>
    <w:rsid w:val="00C04C17"/>
    <w:rsid w:val="00C0707A"/>
    <w:rsid w:val="00C156C8"/>
    <w:rsid w:val="00C17EAF"/>
    <w:rsid w:val="00C20116"/>
    <w:rsid w:val="00C22F4D"/>
    <w:rsid w:val="00C2360B"/>
    <w:rsid w:val="00C27998"/>
    <w:rsid w:val="00C304BF"/>
    <w:rsid w:val="00C31949"/>
    <w:rsid w:val="00C31F11"/>
    <w:rsid w:val="00C33B1B"/>
    <w:rsid w:val="00C3405E"/>
    <w:rsid w:val="00C34498"/>
    <w:rsid w:val="00C36051"/>
    <w:rsid w:val="00C367E5"/>
    <w:rsid w:val="00C37E60"/>
    <w:rsid w:val="00C50688"/>
    <w:rsid w:val="00C52733"/>
    <w:rsid w:val="00C53891"/>
    <w:rsid w:val="00C53EDA"/>
    <w:rsid w:val="00C54BE1"/>
    <w:rsid w:val="00C5682B"/>
    <w:rsid w:val="00C62A10"/>
    <w:rsid w:val="00C6389D"/>
    <w:rsid w:val="00C663F3"/>
    <w:rsid w:val="00C6714D"/>
    <w:rsid w:val="00C677FA"/>
    <w:rsid w:val="00C706F4"/>
    <w:rsid w:val="00C7530B"/>
    <w:rsid w:val="00C7711F"/>
    <w:rsid w:val="00C80BE9"/>
    <w:rsid w:val="00C8100C"/>
    <w:rsid w:val="00C83037"/>
    <w:rsid w:val="00C84166"/>
    <w:rsid w:val="00C86A9D"/>
    <w:rsid w:val="00C94E64"/>
    <w:rsid w:val="00CB161B"/>
    <w:rsid w:val="00CB3A9B"/>
    <w:rsid w:val="00CC047E"/>
    <w:rsid w:val="00CC1B1D"/>
    <w:rsid w:val="00CC3326"/>
    <w:rsid w:val="00CC4D8F"/>
    <w:rsid w:val="00CC5C8E"/>
    <w:rsid w:val="00CD08E3"/>
    <w:rsid w:val="00CD76FF"/>
    <w:rsid w:val="00CE5948"/>
    <w:rsid w:val="00CE5DA1"/>
    <w:rsid w:val="00CF0C9C"/>
    <w:rsid w:val="00CF1733"/>
    <w:rsid w:val="00CF1B3C"/>
    <w:rsid w:val="00CF2252"/>
    <w:rsid w:val="00CF3C7B"/>
    <w:rsid w:val="00CF6CC6"/>
    <w:rsid w:val="00D028E1"/>
    <w:rsid w:val="00D030BD"/>
    <w:rsid w:val="00D03C42"/>
    <w:rsid w:val="00D05342"/>
    <w:rsid w:val="00D05F6D"/>
    <w:rsid w:val="00D10329"/>
    <w:rsid w:val="00D1037D"/>
    <w:rsid w:val="00D11B51"/>
    <w:rsid w:val="00D12BE7"/>
    <w:rsid w:val="00D13F9B"/>
    <w:rsid w:val="00D1449A"/>
    <w:rsid w:val="00D158CE"/>
    <w:rsid w:val="00D16923"/>
    <w:rsid w:val="00D231A5"/>
    <w:rsid w:val="00D236DE"/>
    <w:rsid w:val="00D237B5"/>
    <w:rsid w:val="00D24EE6"/>
    <w:rsid w:val="00D2531B"/>
    <w:rsid w:val="00D35993"/>
    <w:rsid w:val="00D44B92"/>
    <w:rsid w:val="00D45DB2"/>
    <w:rsid w:val="00D46159"/>
    <w:rsid w:val="00D50770"/>
    <w:rsid w:val="00D52986"/>
    <w:rsid w:val="00D54A57"/>
    <w:rsid w:val="00D5511B"/>
    <w:rsid w:val="00D572AC"/>
    <w:rsid w:val="00D57BA7"/>
    <w:rsid w:val="00D62B28"/>
    <w:rsid w:val="00D720A9"/>
    <w:rsid w:val="00D76A22"/>
    <w:rsid w:val="00D776CD"/>
    <w:rsid w:val="00D83B71"/>
    <w:rsid w:val="00D86B18"/>
    <w:rsid w:val="00D91F97"/>
    <w:rsid w:val="00D9274F"/>
    <w:rsid w:val="00D92FF2"/>
    <w:rsid w:val="00D94AA6"/>
    <w:rsid w:val="00D956BA"/>
    <w:rsid w:val="00DA19BD"/>
    <w:rsid w:val="00DA3AAB"/>
    <w:rsid w:val="00DB0092"/>
    <w:rsid w:val="00DB0C98"/>
    <w:rsid w:val="00DB0C9A"/>
    <w:rsid w:val="00DB5D03"/>
    <w:rsid w:val="00DC1EA8"/>
    <w:rsid w:val="00DC2342"/>
    <w:rsid w:val="00DD1308"/>
    <w:rsid w:val="00DE129B"/>
    <w:rsid w:val="00DE1B93"/>
    <w:rsid w:val="00DE2FE6"/>
    <w:rsid w:val="00DE3005"/>
    <w:rsid w:val="00DE511B"/>
    <w:rsid w:val="00DE69B0"/>
    <w:rsid w:val="00DE6D54"/>
    <w:rsid w:val="00DF1044"/>
    <w:rsid w:val="00DF32F0"/>
    <w:rsid w:val="00DF4365"/>
    <w:rsid w:val="00DF488D"/>
    <w:rsid w:val="00DF5DCC"/>
    <w:rsid w:val="00DF5F56"/>
    <w:rsid w:val="00DF6A66"/>
    <w:rsid w:val="00DF746F"/>
    <w:rsid w:val="00DF7656"/>
    <w:rsid w:val="00DF77E2"/>
    <w:rsid w:val="00E013CC"/>
    <w:rsid w:val="00E0441F"/>
    <w:rsid w:val="00E063AE"/>
    <w:rsid w:val="00E10B93"/>
    <w:rsid w:val="00E10EB3"/>
    <w:rsid w:val="00E10F38"/>
    <w:rsid w:val="00E118D3"/>
    <w:rsid w:val="00E1389C"/>
    <w:rsid w:val="00E14FD6"/>
    <w:rsid w:val="00E15BAB"/>
    <w:rsid w:val="00E16449"/>
    <w:rsid w:val="00E16AF0"/>
    <w:rsid w:val="00E20472"/>
    <w:rsid w:val="00E205A4"/>
    <w:rsid w:val="00E241EA"/>
    <w:rsid w:val="00E24D41"/>
    <w:rsid w:val="00E25050"/>
    <w:rsid w:val="00E27596"/>
    <w:rsid w:val="00E3155F"/>
    <w:rsid w:val="00E32038"/>
    <w:rsid w:val="00E325BE"/>
    <w:rsid w:val="00E37FC5"/>
    <w:rsid w:val="00E42833"/>
    <w:rsid w:val="00E45886"/>
    <w:rsid w:val="00E47436"/>
    <w:rsid w:val="00E47F3F"/>
    <w:rsid w:val="00E535C6"/>
    <w:rsid w:val="00E545A9"/>
    <w:rsid w:val="00E559A1"/>
    <w:rsid w:val="00E55B55"/>
    <w:rsid w:val="00E56B08"/>
    <w:rsid w:val="00E6251D"/>
    <w:rsid w:val="00E643A5"/>
    <w:rsid w:val="00E64A66"/>
    <w:rsid w:val="00E70ECD"/>
    <w:rsid w:val="00E71524"/>
    <w:rsid w:val="00E71738"/>
    <w:rsid w:val="00E73801"/>
    <w:rsid w:val="00E75326"/>
    <w:rsid w:val="00E75D10"/>
    <w:rsid w:val="00E7608F"/>
    <w:rsid w:val="00E77D91"/>
    <w:rsid w:val="00E81C0E"/>
    <w:rsid w:val="00E82339"/>
    <w:rsid w:val="00E8371A"/>
    <w:rsid w:val="00E846EB"/>
    <w:rsid w:val="00E87A4D"/>
    <w:rsid w:val="00E87E7B"/>
    <w:rsid w:val="00E90CBD"/>
    <w:rsid w:val="00E929E2"/>
    <w:rsid w:val="00E92CC1"/>
    <w:rsid w:val="00E9446F"/>
    <w:rsid w:val="00E952CA"/>
    <w:rsid w:val="00E97213"/>
    <w:rsid w:val="00E978A9"/>
    <w:rsid w:val="00E97990"/>
    <w:rsid w:val="00EA21DD"/>
    <w:rsid w:val="00EA3817"/>
    <w:rsid w:val="00EB0AC3"/>
    <w:rsid w:val="00EB4849"/>
    <w:rsid w:val="00EB5B0E"/>
    <w:rsid w:val="00EC2B4F"/>
    <w:rsid w:val="00EC5FB1"/>
    <w:rsid w:val="00ED0039"/>
    <w:rsid w:val="00ED121F"/>
    <w:rsid w:val="00ED42CC"/>
    <w:rsid w:val="00ED4EA2"/>
    <w:rsid w:val="00EE151E"/>
    <w:rsid w:val="00EE1A3C"/>
    <w:rsid w:val="00EE2E81"/>
    <w:rsid w:val="00EF02A3"/>
    <w:rsid w:val="00EF0AAC"/>
    <w:rsid w:val="00EF13E6"/>
    <w:rsid w:val="00EF4F3A"/>
    <w:rsid w:val="00F005E6"/>
    <w:rsid w:val="00F01420"/>
    <w:rsid w:val="00F01E54"/>
    <w:rsid w:val="00F10695"/>
    <w:rsid w:val="00F1199C"/>
    <w:rsid w:val="00F14589"/>
    <w:rsid w:val="00F14E36"/>
    <w:rsid w:val="00F16650"/>
    <w:rsid w:val="00F20701"/>
    <w:rsid w:val="00F21DBB"/>
    <w:rsid w:val="00F245AB"/>
    <w:rsid w:val="00F27B43"/>
    <w:rsid w:val="00F325DF"/>
    <w:rsid w:val="00F36997"/>
    <w:rsid w:val="00F3746F"/>
    <w:rsid w:val="00F41605"/>
    <w:rsid w:val="00F444C3"/>
    <w:rsid w:val="00F450CB"/>
    <w:rsid w:val="00F4708A"/>
    <w:rsid w:val="00F51A30"/>
    <w:rsid w:val="00F52DA9"/>
    <w:rsid w:val="00F54254"/>
    <w:rsid w:val="00F5427B"/>
    <w:rsid w:val="00F566AB"/>
    <w:rsid w:val="00F56F42"/>
    <w:rsid w:val="00F6281D"/>
    <w:rsid w:val="00F63EC5"/>
    <w:rsid w:val="00F642CF"/>
    <w:rsid w:val="00F643F5"/>
    <w:rsid w:val="00F64A2C"/>
    <w:rsid w:val="00F65C46"/>
    <w:rsid w:val="00F6642C"/>
    <w:rsid w:val="00F66540"/>
    <w:rsid w:val="00F7174C"/>
    <w:rsid w:val="00F756CD"/>
    <w:rsid w:val="00F76176"/>
    <w:rsid w:val="00F779A0"/>
    <w:rsid w:val="00F80DC1"/>
    <w:rsid w:val="00F80DFF"/>
    <w:rsid w:val="00F90FE4"/>
    <w:rsid w:val="00F91996"/>
    <w:rsid w:val="00F92C46"/>
    <w:rsid w:val="00F944D4"/>
    <w:rsid w:val="00F95AB4"/>
    <w:rsid w:val="00F97BD8"/>
    <w:rsid w:val="00FA1044"/>
    <w:rsid w:val="00FA11C6"/>
    <w:rsid w:val="00FA27AD"/>
    <w:rsid w:val="00FA2CD9"/>
    <w:rsid w:val="00FA6497"/>
    <w:rsid w:val="00FA7D14"/>
    <w:rsid w:val="00FB0593"/>
    <w:rsid w:val="00FB479E"/>
    <w:rsid w:val="00FB4B7C"/>
    <w:rsid w:val="00FB6512"/>
    <w:rsid w:val="00FC038B"/>
    <w:rsid w:val="00FC1127"/>
    <w:rsid w:val="00FC11B4"/>
    <w:rsid w:val="00FC1A63"/>
    <w:rsid w:val="00FC7F5E"/>
    <w:rsid w:val="00FD0A86"/>
    <w:rsid w:val="00FD3238"/>
    <w:rsid w:val="00FD551B"/>
    <w:rsid w:val="00FD7247"/>
    <w:rsid w:val="00FE269C"/>
    <w:rsid w:val="00FE3284"/>
    <w:rsid w:val="00FE384A"/>
    <w:rsid w:val="00FE4165"/>
    <w:rsid w:val="00FE4D5B"/>
    <w:rsid w:val="00FE6715"/>
    <w:rsid w:val="00FE794A"/>
    <w:rsid w:val="00FF0C73"/>
    <w:rsid w:val="00FF1D0B"/>
    <w:rsid w:val="00FF2515"/>
    <w:rsid w:val="00FF2825"/>
    <w:rsid w:val="00FF4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99"/>
    <w:pPr>
      <w:spacing w:after="0"/>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B56360"/>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unhideWhenUsed/>
    <w:qFormat/>
    <w:rsid w:val="007A41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75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340"/>
    <w:rPr>
      <w:rFonts w:ascii="Tahoma" w:hAnsi="Tahoma" w:cs="Tahoma"/>
      <w:sz w:val="16"/>
      <w:szCs w:val="16"/>
    </w:rPr>
  </w:style>
  <w:style w:type="character" w:customStyle="1" w:styleId="BalloonTextChar">
    <w:name w:val="Balloon Text Char"/>
    <w:basedOn w:val="DefaultParagraphFont"/>
    <w:link w:val="BalloonText"/>
    <w:uiPriority w:val="99"/>
    <w:semiHidden/>
    <w:rsid w:val="009E6340"/>
    <w:rPr>
      <w:rFonts w:ascii="Tahoma" w:eastAsia="Times New Roman" w:hAnsi="Tahoma" w:cs="Tahoma"/>
      <w:sz w:val="16"/>
      <w:szCs w:val="16"/>
    </w:rPr>
  </w:style>
  <w:style w:type="character" w:customStyle="1" w:styleId="Heading1Char">
    <w:name w:val="Heading 1 Char"/>
    <w:basedOn w:val="DefaultParagraphFont"/>
    <w:link w:val="Heading1"/>
    <w:uiPriority w:val="9"/>
    <w:rsid w:val="00B56360"/>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9B1C0F"/>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link w:val="NoSpacingChar"/>
    <w:uiPriority w:val="1"/>
    <w:qFormat/>
    <w:rsid w:val="00E10F38"/>
    <w:pPr>
      <w:spacing w:after="0"/>
    </w:pPr>
    <w:rPr>
      <w:rFonts w:eastAsiaTheme="minorEastAsia"/>
      <w:lang w:val="en-US"/>
    </w:rPr>
  </w:style>
  <w:style w:type="character" w:customStyle="1" w:styleId="NoSpacingChar">
    <w:name w:val="No Spacing Char"/>
    <w:basedOn w:val="DefaultParagraphFont"/>
    <w:link w:val="NoSpacing"/>
    <w:uiPriority w:val="1"/>
    <w:rsid w:val="00E10F38"/>
    <w:rPr>
      <w:rFonts w:eastAsiaTheme="minorEastAsia"/>
      <w:lang w:val="en-US"/>
    </w:rPr>
  </w:style>
  <w:style w:type="table" w:styleId="TableGrid">
    <w:name w:val="Table Grid"/>
    <w:basedOn w:val="TableNormal"/>
    <w:uiPriority w:val="59"/>
    <w:rsid w:val="00E1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F42BE"/>
    <w:pPr>
      <w:tabs>
        <w:tab w:val="center" w:pos="4513"/>
        <w:tab w:val="right" w:pos="9026"/>
      </w:tabs>
    </w:pPr>
  </w:style>
  <w:style w:type="character" w:customStyle="1" w:styleId="HeaderChar">
    <w:name w:val="Header Char"/>
    <w:basedOn w:val="DefaultParagraphFont"/>
    <w:link w:val="Header"/>
    <w:uiPriority w:val="99"/>
    <w:semiHidden/>
    <w:rsid w:val="00AF42B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F42BE"/>
    <w:pPr>
      <w:tabs>
        <w:tab w:val="center" w:pos="4513"/>
        <w:tab w:val="right" w:pos="9026"/>
      </w:tabs>
    </w:pPr>
  </w:style>
  <w:style w:type="character" w:customStyle="1" w:styleId="FooterChar">
    <w:name w:val="Footer Char"/>
    <w:basedOn w:val="DefaultParagraphFont"/>
    <w:link w:val="Footer"/>
    <w:uiPriority w:val="99"/>
    <w:rsid w:val="00AF42BE"/>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7A41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756F"/>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99"/>
    <w:pPr>
      <w:spacing w:after="0"/>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B56360"/>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unhideWhenUsed/>
    <w:qFormat/>
    <w:rsid w:val="007A41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75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340"/>
    <w:rPr>
      <w:rFonts w:ascii="Tahoma" w:hAnsi="Tahoma" w:cs="Tahoma"/>
      <w:sz w:val="16"/>
      <w:szCs w:val="16"/>
    </w:rPr>
  </w:style>
  <w:style w:type="character" w:customStyle="1" w:styleId="BalloonTextChar">
    <w:name w:val="Balloon Text Char"/>
    <w:basedOn w:val="DefaultParagraphFont"/>
    <w:link w:val="BalloonText"/>
    <w:uiPriority w:val="99"/>
    <w:semiHidden/>
    <w:rsid w:val="009E6340"/>
    <w:rPr>
      <w:rFonts w:ascii="Tahoma" w:eastAsia="Times New Roman" w:hAnsi="Tahoma" w:cs="Tahoma"/>
      <w:sz w:val="16"/>
      <w:szCs w:val="16"/>
    </w:rPr>
  </w:style>
  <w:style w:type="character" w:customStyle="1" w:styleId="Heading1Char">
    <w:name w:val="Heading 1 Char"/>
    <w:basedOn w:val="DefaultParagraphFont"/>
    <w:link w:val="Heading1"/>
    <w:uiPriority w:val="9"/>
    <w:rsid w:val="00B56360"/>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9B1C0F"/>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link w:val="NoSpacingChar"/>
    <w:uiPriority w:val="1"/>
    <w:qFormat/>
    <w:rsid w:val="00E10F38"/>
    <w:pPr>
      <w:spacing w:after="0"/>
    </w:pPr>
    <w:rPr>
      <w:rFonts w:eastAsiaTheme="minorEastAsia"/>
      <w:lang w:val="en-US"/>
    </w:rPr>
  </w:style>
  <w:style w:type="character" w:customStyle="1" w:styleId="NoSpacingChar">
    <w:name w:val="No Spacing Char"/>
    <w:basedOn w:val="DefaultParagraphFont"/>
    <w:link w:val="NoSpacing"/>
    <w:uiPriority w:val="1"/>
    <w:rsid w:val="00E10F38"/>
    <w:rPr>
      <w:rFonts w:eastAsiaTheme="minorEastAsia"/>
      <w:lang w:val="en-US"/>
    </w:rPr>
  </w:style>
  <w:style w:type="table" w:styleId="TableGrid">
    <w:name w:val="Table Grid"/>
    <w:basedOn w:val="TableNormal"/>
    <w:uiPriority w:val="59"/>
    <w:rsid w:val="00E1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F42BE"/>
    <w:pPr>
      <w:tabs>
        <w:tab w:val="center" w:pos="4513"/>
        <w:tab w:val="right" w:pos="9026"/>
      </w:tabs>
    </w:pPr>
  </w:style>
  <w:style w:type="character" w:customStyle="1" w:styleId="HeaderChar">
    <w:name w:val="Header Char"/>
    <w:basedOn w:val="DefaultParagraphFont"/>
    <w:link w:val="Header"/>
    <w:uiPriority w:val="99"/>
    <w:semiHidden/>
    <w:rsid w:val="00AF42B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F42BE"/>
    <w:pPr>
      <w:tabs>
        <w:tab w:val="center" w:pos="4513"/>
        <w:tab w:val="right" w:pos="9026"/>
      </w:tabs>
    </w:pPr>
  </w:style>
  <w:style w:type="character" w:customStyle="1" w:styleId="FooterChar">
    <w:name w:val="Footer Char"/>
    <w:basedOn w:val="DefaultParagraphFont"/>
    <w:link w:val="Footer"/>
    <w:uiPriority w:val="99"/>
    <w:rsid w:val="00AF42BE"/>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7A41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756F"/>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7354">
      <w:bodyDiv w:val="1"/>
      <w:marLeft w:val="0"/>
      <w:marRight w:val="0"/>
      <w:marTop w:val="0"/>
      <w:marBottom w:val="0"/>
      <w:divBdr>
        <w:top w:val="none" w:sz="0" w:space="0" w:color="auto"/>
        <w:left w:val="none" w:sz="0" w:space="0" w:color="auto"/>
        <w:bottom w:val="none" w:sz="0" w:space="0" w:color="auto"/>
        <w:right w:val="none" w:sz="0" w:space="0" w:color="auto"/>
      </w:divBdr>
    </w:div>
    <w:div w:id="23528193">
      <w:bodyDiv w:val="1"/>
      <w:marLeft w:val="0"/>
      <w:marRight w:val="0"/>
      <w:marTop w:val="0"/>
      <w:marBottom w:val="0"/>
      <w:divBdr>
        <w:top w:val="none" w:sz="0" w:space="0" w:color="auto"/>
        <w:left w:val="none" w:sz="0" w:space="0" w:color="auto"/>
        <w:bottom w:val="none" w:sz="0" w:space="0" w:color="auto"/>
        <w:right w:val="none" w:sz="0" w:space="0" w:color="auto"/>
      </w:divBdr>
    </w:div>
    <w:div w:id="25906782">
      <w:bodyDiv w:val="1"/>
      <w:marLeft w:val="0"/>
      <w:marRight w:val="0"/>
      <w:marTop w:val="0"/>
      <w:marBottom w:val="0"/>
      <w:divBdr>
        <w:top w:val="none" w:sz="0" w:space="0" w:color="auto"/>
        <w:left w:val="none" w:sz="0" w:space="0" w:color="auto"/>
        <w:bottom w:val="none" w:sz="0" w:space="0" w:color="auto"/>
        <w:right w:val="none" w:sz="0" w:space="0" w:color="auto"/>
      </w:divBdr>
    </w:div>
    <w:div w:id="62872056">
      <w:bodyDiv w:val="1"/>
      <w:marLeft w:val="0"/>
      <w:marRight w:val="0"/>
      <w:marTop w:val="0"/>
      <w:marBottom w:val="0"/>
      <w:divBdr>
        <w:top w:val="none" w:sz="0" w:space="0" w:color="auto"/>
        <w:left w:val="none" w:sz="0" w:space="0" w:color="auto"/>
        <w:bottom w:val="none" w:sz="0" w:space="0" w:color="auto"/>
        <w:right w:val="none" w:sz="0" w:space="0" w:color="auto"/>
      </w:divBdr>
    </w:div>
    <w:div w:id="69542673">
      <w:bodyDiv w:val="1"/>
      <w:marLeft w:val="0"/>
      <w:marRight w:val="0"/>
      <w:marTop w:val="0"/>
      <w:marBottom w:val="0"/>
      <w:divBdr>
        <w:top w:val="none" w:sz="0" w:space="0" w:color="auto"/>
        <w:left w:val="none" w:sz="0" w:space="0" w:color="auto"/>
        <w:bottom w:val="none" w:sz="0" w:space="0" w:color="auto"/>
        <w:right w:val="none" w:sz="0" w:space="0" w:color="auto"/>
      </w:divBdr>
    </w:div>
    <w:div w:id="136994067">
      <w:bodyDiv w:val="1"/>
      <w:marLeft w:val="0"/>
      <w:marRight w:val="0"/>
      <w:marTop w:val="0"/>
      <w:marBottom w:val="0"/>
      <w:divBdr>
        <w:top w:val="none" w:sz="0" w:space="0" w:color="auto"/>
        <w:left w:val="none" w:sz="0" w:space="0" w:color="auto"/>
        <w:bottom w:val="none" w:sz="0" w:space="0" w:color="auto"/>
        <w:right w:val="none" w:sz="0" w:space="0" w:color="auto"/>
      </w:divBdr>
    </w:div>
    <w:div w:id="149256250">
      <w:bodyDiv w:val="1"/>
      <w:marLeft w:val="0"/>
      <w:marRight w:val="0"/>
      <w:marTop w:val="0"/>
      <w:marBottom w:val="0"/>
      <w:divBdr>
        <w:top w:val="none" w:sz="0" w:space="0" w:color="auto"/>
        <w:left w:val="none" w:sz="0" w:space="0" w:color="auto"/>
        <w:bottom w:val="none" w:sz="0" w:space="0" w:color="auto"/>
        <w:right w:val="none" w:sz="0" w:space="0" w:color="auto"/>
      </w:divBdr>
    </w:div>
    <w:div w:id="223151689">
      <w:bodyDiv w:val="1"/>
      <w:marLeft w:val="0"/>
      <w:marRight w:val="0"/>
      <w:marTop w:val="0"/>
      <w:marBottom w:val="0"/>
      <w:divBdr>
        <w:top w:val="none" w:sz="0" w:space="0" w:color="auto"/>
        <w:left w:val="none" w:sz="0" w:space="0" w:color="auto"/>
        <w:bottom w:val="none" w:sz="0" w:space="0" w:color="auto"/>
        <w:right w:val="none" w:sz="0" w:space="0" w:color="auto"/>
      </w:divBdr>
    </w:div>
    <w:div w:id="227880050">
      <w:bodyDiv w:val="1"/>
      <w:marLeft w:val="0"/>
      <w:marRight w:val="0"/>
      <w:marTop w:val="0"/>
      <w:marBottom w:val="0"/>
      <w:divBdr>
        <w:top w:val="none" w:sz="0" w:space="0" w:color="auto"/>
        <w:left w:val="none" w:sz="0" w:space="0" w:color="auto"/>
        <w:bottom w:val="none" w:sz="0" w:space="0" w:color="auto"/>
        <w:right w:val="none" w:sz="0" w:space="0" w:color="auto"/>
      </w:divBdr>
    </w:div>
    <w:div w:id="236674893">
      <w:bodyDiv w:val="1"/>
      <w:marLeft w:val="0"/>
      <w:marRight w:val="0"/>
      <w:marTop w:val="0"/>
      <w:marBottom w:val="0"/>
      <w:divBdr>
        <w:top w:val="none" w:sz="0" w:space="0" w:color="auto"/>
        <w:left w:val="none" w:sz="0" w:space="0" w:color="auto"/>
        <w:bottom w:val="none" w:sz="0" w:space="0" w:color="auto"/>
        <w:right w:val="none" w:sz="0" w:space="0" w:color="auto"/>
      </w:divBdr>
    </w:div>
    <w:div w:id="252445569">
      <w:bodyDiv w:val="1"/>
      <w:marLeft w:val="0"/>
      <w:marRight w:val="0"/>
      <w:marTop w:val="0"/>
      <w:marBottom w:val="0"/>
      <w:divBdr>
        <w:top w:val="none" w:sz="0" w:space="0" w:color="auto"/>
        <w:left w:val="none" w:sz="0" w:space="0" w:color="auto"/>
        <w:bottom w:val="none" w:sz="0" w:space="0" w:color="auto"/>
        <w:right w:val="none" w:sz="0" w:space="0" w:color="auto"/>
      </w:divBdr>
    </w:div>
    <w:div w:id="297539330">
      <w:bodyDiv w:val="1"/>
      <w:marLeft w:val="0"/>
      <w:marRight w:val="0"/>
      <w:marTop w:val="0"/>
      <w:marBottom w:val="0"/>
      <w:divBdr>
        <w:top w:val="none" w:sz="0" w:space="0" w:color="auto"/>
        <w:left w:val="none" w:sz="0" w:space="0" w:color="auto"/>
        <w:bottom w:val="none" w:sz="0" w:space="0" w:color="auto"/>
        <w:right w:val="none" w:sz="0" w:space="0" w:color="auto"/>
      </w:divBdr>
    </w:div>
    <w:div w:id="300548403">
      <w:bodyDiv w:val="1"/>
      <w:marLeft w:val="0"/>
      <w:marRight w:val="0"/>
      <w:marTop w:val="0"/>
      <w:marBottom w:val="0"/>
      <w:divBdr>
        <w:top w:val="none" w:sz="0" w:space="0" w:color="auto"/>
        <w:left w:val="none" w:sz="0" w:space="0" w:color="auto"/>
        <w:bottom w:val="none" w:sz="0" w:space="0" w:color="auto"/>
        <w:right w:val="none" w:sz="0" w:space="0" w:color="auto"/>
      </w:divBdr>
    </w:div>
    <w:div w:id="309408307">
      <w:bodyDiv w:val="1"/>
      <w:marLeft w:val="0"/>
      <w:marRight w:val="0"/>
      <w:marTop w:val="0"/>
      <w:marBottom w:val="0"/>
      <w:divBdr>
        <w:top w:val="none" w:sz="0" w:space="0" w:color="auto"/>
        <w:left w:val="none" w:sz="0" w:space="0" w:color="auto"/>
        <w:bottom w:val="none" w:sz="0" w:space="0" w:color="auto"/>
        <w:right w:val="none" w:sz="0" w:space="0" w:color="auto"/>
      </w:divBdr>
    </w:div>
    <w:div w:id="334377750">
      <w:bodyDiv w:val="1"/>
      <w:marLeft w:val="0"/>
      <w:marRight w:val="0"/>
      <w:marTop w:val="0"/>
      <w:marBottom w:val="0"/>
      <w:divBdr>
        <w:top w:val="none" w:sz="0" w:space="0" w:color="auto"/>
        <w:left w:val="none" w:sz="0" w:space="0" w:color="auto"/>
        <w:bottom w:val="none" w:sz="0" w:space="0" w:color="auto"/>
        <w:right w:val="none" w:sz="0" w:space="0" w:color="auto"/>
      </w:divBdr>
    </w:div>
    <w:div w:id="335884309">
      <w:bodyDiv w:val="1"/>
      <w:marLeft w:val="0"/>
      <w:marRight w:val="0"/>
      <w:marTop w:val="0"/>
      <w:marBottom w:val="0"/>
      <w:divBdr>
        <w:top w:val="none" w:sz="0" w:space="0" w:color="auto"/>
        <w:left w:val="none" w:sz="0" w:space="0" w:color="auto"/>
        <w:bottom w:val="none" w:sz="0" w:space="0" w:color="auto"/>
        <w:right w:val="none" w:sz="0" w:space="0" w:color="auto"/>
      </w:divBdr>
    </w:div>
    <w:div w:id="416173564">
      <w:bodyDiv w:val="1"/>
      <w:marLeft w:val="0"/>
      <w:marRight w:val="0"/>
      <w:marTop w:val="0"/>
      <w:marBottom w:val="0"/>
      <w:divBdr>
        <w:top w:val="none" w:sz="0" w:space="0" w:color="auto"/>
        <w:left w:val="none" w:sz="0" w:space="0" w:color="auto"/>
        <w:bottom w:val="none" w:sz="0" w:space="0" w:color="auto"/>
        <w:right w:val="none" w:sz="0" w:space="0" w:color="auto"/>
      </w:divBdr>
    </w:div>
    <w:div w:id="482626842">
      <w:bodyDiv w:val="1"/>
      <w:marLeft w:val="0"/>
      <w:marRight w:val="0"/>
      <w:marTop w:val="0"/>
      <w:marBottom w:val="0"/>
      <w:divBdr>
        <w:top w:val="none" w:sz="0" w:space="0" w:color="auto"/>
        <w:left w:val="none" w:sz="0" w:space="0" w:color="auto"/>
        <w:bottom w:val="none" w:sz="0" w:space="0" w:color="auto"/>
        <w:right w:val="none" w:sz="0" w:space="0" w:color="auto"/>
      </w:divBdr>
    </w:div>
    <w:div w:id="594359258">
      <w:bodyDiv w:val="1"/>
      <w:marLeft w:val="0"/>
      <w:marRight w:val="0"/>
      <w:marTop w:val="0"/>
      <w:marBottom w:val="0"/>
      <w:divBdr>
        <w:top w:val="none" w:sz="0" w:space="0" w:color="auto"/>
        <w:left w:val="none" w:sz="0" w:space="0" w:color="auto"/>
        <w:bottom w:val="none" w:sz="0" w:space="0" w:color="auto"/>
        <w:right w:val="none" w:sz="0" w:space="0" w:color="auto"/>
      </w:divBdr>
    </w:div>
    <w:div w:id="605768473">
      <w:bodyDiv w:val="1"/>
      <w:marLeft w:val="0"/>
      <w:marRight w:val="0"/>
      <w:marTop w:val="0"/>
      <w:marBottom w:val="0"/>
      <w:divBdr>
        <w:top w:val="none" w:sz="0" w:space="0" w:color="auto"/>
        <w:left w:val="none" w:sz="0" w:space="0" w:color="auto"/>
        <w:bottom w:val="none" w:sz="0" w:space="0" w:color="auto"/>
        <w:right w:val="none" w:sz="0" w:space="0" w:color="auto"/>
      </w:divBdr>
    </w:div>
    <w:div w:id="648749747">
      <w:bodyDiv w:val="1"/>
      <w:marLeft w:val="0"/>
      <w:marRight w:val="0"/>
      <w:marTop w:val="0"/>
      <w:marBottom w:val="0"/>
      <w:divBdr>
        <w:top w:val="none" w:sz="0" w:space="0" w:color="auto"/>
        <w:left w:val="none" w:sz="0" w:space="0" w:color="auto"/>
        <w:bottom w:val="none" w:sz="0" w:space="0" w:color="auto"/>
        <w:right w:val="none" w:sz="0" w:space="0" w:color="auto"/>
      </w:divBdr>
    </w:div>
    <w:div w:id="779880928">
      <w:bodyDiv w:val="1"/>
      <w:marLeft w:val="0"/>
      <w:marRight w:val="0"/>
      <w:marTop w:val="0"/>
      <w:marBottom w:val="0"/>
      <w:divBdr>
        <w:top w:val="none" w:sz="0" w:space="0" w:color="auto"/>
        <w:left w:val="none" w:sz="0" w:space="0" w:color="auto"/>
        <w:bottom w:val="none" w:sz="0" w:space="0" w:color="auto"/>
        <w:right w:val="none" w:sz="0" w:space="0" w:color="auto"/>
      </w:divBdr>
    </w:div>
    <w:div w:id="792017983">
      <w:bodyDiv w:val="1"/>
      <w:marLeft w:val="0"/>
      <w:marRight w:val="0"/>
      <w:marTop w:val="0"/>
      <w:marBottom w:val="0"/>
      <w:divBdr>
        <w:top w:val="none" w:sz="0" w:space="0" w:color="auto"/>
        <w:left w:val="none" w:sz="0" w:space="0" w:color="auto"/>
        <w:bottom w:val="none" w:sz="0" w:space="0" w:color="auto"/>
        <w:right w:val="none" w:sz="0" w:space="0" w:color="auto"/>
      </w:divBdr>
    </w:div>
    <w:div w:id="794064212">
      <w:bodyDiv w:val="1"/>
      <w:marLeft w:val="0"/>
      <w:marRight w:val="0"/>
      <w:marTop w:val="0"/>
      <w:marBottom w:val="0"/>
      <w:divBdr>
        <w:top w:val="none" w:sz="0" w:space="0" w:color="auto"/>
        <w:left w:val="none" w:sz="0" w:space="0" w:color="auto"/>
        <w:bottom w:val="none" w:sz="0" w:space="0" w:color="auto"/>
        <w:right w:val="none" w:sz="0" w:space="0" w:color="auto"/>
      </w:divBdr>
    </w:div>
    <w:div w:id="866917845">
      <w:bodyDiv w:val="1"/>
      <w:marLeft w:val="0"/>
      <w:marRight w:val="0"/>
      <w:marTop w:val="0"/>
      <w:marBottom w:val="0"/>
      <w:divBdr>
        <w:top w:val="none" w:sz="0" w:space="0" w:color="auto"/>
        <w:left w:val="none" w:sz="0" w:space="0" w:color="auto"/>
        <w:bottom w:val="none" w:sz="0" w:space="0" w:color="auto"/>
        <w:right w:val="none" w:sz="0" w:space="0" w:color="auto"/>
      </w:divBdr>
    </w:div>
    <w:div w:id="873883765">
      <w:bodyDiv w:val="1"/>
      <w:marLeft w:val="0"/>
      <w:marRight w:val="0"/>
      <w:marTop w:val="0"/>
      <w:marBottom w:val="0"/>
      <w:divBdr>
        <w:top w:val="none" w:sz="0" w:space="0" w:color="auto"/>
        <w:left w:val="none" w:sz="0" w:space="0" w:color="auto"/>
        <w:bottom w:val="none" w:sz="0" w:space="0" w:color="auto"/>
        <w:right w:val="none" w:sz="0" w:space="0" w:color="auto"/>
      </w:divBdr>
    </w:div>
    <w:div w:id="925772043">
      <w:bodyDiv w:val="1"/>
      <w:marLeft w:val="0"/>
      <w:marRight w:val="0"/>
      <w:marTop w:val="0"/>
      <w:marBottom w:val="0"/>
      <w:divBdr>
        <w:top w:val="none" w:sz="0" w:space="0" w:color="auto"/>
        <w:left w:val="none" w:sz="0" w:space="0" w:color="auto"/>
        <w:bottom w:val="none" w:sz="0" w:space="0" w:color="auto"/>
        <w:right w:val="none" w:sz="0" w:space="0" w:color="auto"/>
      </w:divBdr>
    </w:div>
    <w:div w:id="928929162">
      <w:bodyDiv w:val="1"/>
      <w:marLeft w:val="0"/>
      <w:marRight w:val="0"/>
      <w:marTop w:val="0"/>
      <w:marBottom w:val="0"/>
      <w:divBdr>
        <w:top w:val="none" w:sz="0" w:space="0" w:color="auto"/>
        <w:left w:val="none" w:sz="0" w:space="0" w:color="auto"/>
        <w:bottom w:val="none" w:sz="0" w:space="0" w:color="auto"/>
        <w:right w:val="none" w:sz="0" w:space="0" w:color="auto"/>
      </w:divBdr>
    </w:div>
    <w:div w:id="942029150">
      <w:bodyDiv w:val="1"/>
      <w:marLeft w:val="0"/>
      <w:marRight w:val="0"/>
      <w:marTop w:val="0"/>
      <w:marBottom w:val="0"/>
      <w:divBdr>
        <w:top w:val="none" w:sz="0" w:space="0" w:color="auto"/>
        <w:left w:val="none" w:sz="0" w:space="0" w:color="auto"/>
        <w:bottom w:val="none" w:sz="0" w:space="0" w:color="auto"/>
        <w:right w:val="none" w:sz="0" w:space="0" w:color="auto"/>
      </w:divBdr>
    </w:div>
    <w:div w:id="960499114">
      <w:bodyDiv w:val="1"/>
      <w:marLeft w:val="0"/>
      <w:marRight w:val="0"/>
      <w:marTop w:val="0"/>
      <w:marBottom w:val="0"/>
      <w:divBdr>
        <w:top w:val="none" w:sz="0" w:space="0" w:color="auto"/>
        <w:left w:val="none" w:sz="0" w:space="0" w:color="auto"/>
        <w:bottom w:val="none" w:sz="0" w:space="0" w:color="auto"/>
        <w:right w:val="none" w:sz="0" w:space="0" w:color="auto"/>
      </w:divBdr>
    </w:div>
    <w:div w:id="968051364">
      <w:bodyDiv w:val="1"/>
      <w:marLeft w:val="0"/>
      <w:marRight w:val="0"/>
      <w:marTop w:val="0"/>
      <w:marBottom w:val="0"/>
      <w:divBdr>
        <w:top w:val="none" w:sz="0" w:space="0" w:color="auto"/>
        <w:left w:val="none" w:sz="0" w:space="0" w:color="auto"/>
        <w:bottom w:val="none" w:sz="0" w:space="0" w:color="auto"/>
        <w:right w:val="none" w:sz="0" w:space="0" w:color="auto"/>
      </w:divBdr>
    </w:div>
    <w:div w:id="1000501494">
      <w:bodyDiv w:val="1"/>
      <w:marLeft w:val="0"/>
      <w:marRight w:val="0"/>
      <w:marTop w:val="0"/>
      <w:marBottom w:val="0"/>
      <w:divBdr>
        <w:top w:val="none" w:sz="0" w:space="0" w:color="auto"/>
        <w:left w:val="none" w:sz="0" w:space="0" w:color="auto"/>
        <w:bottom w:val="none" w:sz="0" w:space="0" w:color="auto"/>
        <w:right w:val="none" w:sz="0" w:space="0" w:color="auto"/>
      </w:divBdr>
    </w:div>
    <w:div w:id="1028146694">
      <w:bodyDiv w:val="1"/>
      <w:marLeft w:val="0"/>
      <w:marRight w:val="0"/>
      <w:marTop w:val="0"/>
      <w:marBottom w:val="0"/>
      <w:divBdr>
        <w:top w:val="none" w:sz="0" w:space="0" w:color="auto"/>
        <w:left w:val="none" w:sz="0" w:space="0" w:color="auto"/>
        <w:bottom w:val="none" w:sz="0" w:space="0" w:color="auto"/>
        <w:right w:val="none" w:sz="0" w:space="0" w:color="auto"/>
      </w:divBdr>
    </w:div>
    <w:div w:id="1037582015">
      <w:bodyDiv w:val="1"/>
      <w:marLeft w:val="0"/>
      <w:marRight w:val="0"/>
      <w:marTop w:val="0"/>
      <w:marBottom w:val="0"/>
      <w:divBdr>
        <w:top w:val="none" w:sz="0" w:space="0" w:color="auto"/>
        <w:left w:val="none" w:sz="0" w:space="0" w:color="auto"/>
        <w:bottom w:val="none" w:sz="0" w:space="0" w:color="auto"/>
        <w:right w:val="none" w:sz="0" w:space="0" w:color="auto"/>
      </w:divBdr>
    </w:div>
    <w:div w:id="1133131838">
      <w:bodyDiv w:val="1"/>
      <w:marLeft w:val="0"/>
      <w:marRight w:val="0"/>
      <w:marTop w:val="0"/>
      <w:marBottom w:val="0"/>
      <w:divBdr>
        <w:top w:val="none" w:sz="0" w:space="0" w:color="auto"/>
        <w:left w:val="none" w:sz="0" w:space="0" w:color="auto"/>
        <w:bottom w:val="none" w:sz="0" w:space="0" w:color="auto"/>
        <w:right w:val="none" w:sz="0" w:space="0" w:color="auto"/>
      </w:divBdr>
    </w:div>
    <w:div w:id="1147285294">
      <w:bodyDiv w:val="1"/>
      <w:marLeft w:val="0"/>
      <w:marRight w:val="0"/>
      <w:marTop w:val="0"/>
      <w:marBottom w:val="0"/>
      <w:divBdr>
        <w:top w:val="none" w:sz="0" w:space="0" w:color="auto"/>
        <w:left w:val="none" w:sz="0" w:space="0" w:color="auto"/>
        <w:bottom w:val="none" w:sz="0" w:space="0" w:color="auto"/>
        <w:right w:val="none" w:sz="0" w:space="0" w:color="auto"/>
      </w:divBdr>
    </w:div>
    <w:div w:id="1150560982">
      <w:bodyDiv w:val="1"/>
      <w:marLeft w:val="0"/>
      <w:marRight w:val="0"/>
      <w:marTop w:val="0"/>
      <w:marBottom w:val="0"/>
      <w:divBdr>
        <w:top w:val="none" w:sz="0" w:space="0" w:color="auto"/>
        <w:left w:val="none" w:sz="0" w:space="0" w:color="auto"/>
        <w:bottom w:val="none" w:sz="0" w:space="0" w:color="auto"/>
        <w:right w:val="none" w:sz="0" w:space="0" w:color="auto"/>
      </w:divBdr>
    </w:div>
    <w:div w:id="1154486489">
      <w:bodyDiv w:val="1"/>
      <w:marLeft w:val="0"/>
      <w:marRight w:val="0"/>
      <w:marTop w:val="0"/>
      <w:marBottom w:val="0"/>
      <w:divBdr>
        <w:top w:val="none" w:sz="0" w:space="0" w:color="auto"/>
        <w:left w:val="none" w:sz="0" w:space="0" w:color="auto"/>
        <w:bottom w:val="none" w:sz="0" w:space="0" w:color="auto"/>
        <w:right w:val="none" w:sz="0" w:space="0" w:color="auto"/>
      </w:divBdr>
    </w:div>
    <w:div w:id="1171799081">
      <w:bodyDiv w:val="1"/>
      <w:marLeft w:val="0"/>
      <w:marRight w:val="0"/>
      <w:marTop w:val="0"/>
      <w:marBottom w:val="0"/>
      <w:divBdr>
        <w:top w:val="none" w:sz="0" w:space="0" w:color="auto"/>
        <w:left w:val="none" w:sz="0" w:space="0" w:color="auto"/>
        <w:bottom w:val="none" w:sz="0" w:space="0" w:color="auto"/>
        <w:right w:val="none" w:sz="0" w:space="0" w:color="auto"/>
      </w:divBdr>
    </w:div>
    <w:div w:id="1189876605">
      <w:bodyDiv w:val="1"/>
      <w:marLeft w:val="0"/>
      <w:marRight w:val="0"/>
      <w:marTop w:val="0"/>
      <w:marBottom w:val="0"/>
      <w:divBdr>
        <w:top w:val="none" w:sz="0" w:space="0" w:color="auto"/>
        <w:left w:val="none" w:sz="0" w:space="0" w:color="auto"/>
        <w:bottom w:val="none" w:sz="0" w:space="0" w:color="auto"/>
        <w:right w:val="none" w:sz="0" w:space="0" w:color="auto"/>
      </w:divBdr>
    </w:div>
    <w:div w:id="1218392904">
      <w:bodyDiv w:val="1"/>
      <w:marLeft w:val="0"/>
      <w:marRight w:val="0"/>
      <w:marTop w:val="0"/>
      <w:marBottom w:val="0"/>
      <w:divBdr>
        <w:top w:val="none" w:sz="0" w:space="0" w:color="auto"/>
        <w:left w:val="none" w:sz="0" w:space="0" w:color="auto"/>
        <w:bottom w:val="none" w:sz="0" w:space="0" w:color="auto"/>
        <w:right w:val="none" w:sz="0" w:space="0" w:color="auto"/>
      </w:divBdr>
    </w:div>
    <w:div w:id="1279332854">
      <w:bodyDiv w:val="1"/>
      <w:marLeft w:val="0"/>
      <w:marRight w:val="0"/>
      <w:marTop w:val="0"/>
      <w:marBottom w:val="0"/>
      <w:divBdr>
        <w:top w:val="none" w:sz="0" w:space="0" w:color="auto"/>
        <w:left w:val="none" w:sz="0" w:space="0" w:color="auto"/>
        <w:bottom w:val="none" w:sz="0" w:space="0" w:color="auto"/>
        <w:right w:val="none" w:sz="0" w:space="0" w:color="auto"/>
      </w:divBdr>
    </w:div>
    <w:div w:id="1298219460">
      <w:bodyDiv w:val="1"/>
      <w:marLeft w:val="0"/>
      <w:marRight w:val="0"/>
      <w:marTop w:val="0"/>
      <w:marBottom w:val="0"/>
      <w:divBdr>
        <w:top w:val="none" w:sz="0" w:space="0" w:color="auto"/>
        <w:left w:val="none" w:sz="0" w:space="0" w:color="auto"/>
        <w:bottom w:val="none" w:sz="0" w:space="0" w:color="auto"/>
        <w:right w:val="none" w:sz="0" w:space="0" w:color="auto"/>
      </w:divBdr>
    </w:div>
    <w:div w:id="1300108642">
      <w:bodyDiv w:val="1"/>
      <w:marLeft w:val="0"/>
      <w:marRight w:val="0"/>
      <w:marTop w:val="0"/>
      <w:marBottom w:val="0"/>
      <w:divBdr>
        <w:top w:val="none" w:sz="0" w:space="0" w:color="auto"/>
        <w:left w:val="none" w:sz="0" w:space="0" w:color="auto"/>
        <w:bottom w:val="none" w:sz="0" w:space="0" w:color="auto"/>
        <w:right w:val="none" w:sz="0" w:space="0" w:color="auto"/>
      </w:divBdr>
    </w:div>
    <w:div w:id="1303081007">
      <w:bodyDiv w:val="1"/>
      <w:marLeft w:val="0"/>
      <w:marRight w:val="0"/>
      <w:marTop w:val="0"/>
      <w:marBottom w:val="0"/>
      <w:divBdr>
        <w:top w:val="none" w:sz="0" w:space="0" w:color="auto"/>
        <w:left w:val="none" w:sz="0" w:space="0" w:color="auto"/>
        <w:bottom w:val="none" w:sz="0" w:space="0" w:color="auto"/>
        <w:right w:val="none" w:sz="0" w:space="0" w:color="auto"/>
      </w:divBdr>
    </w:div>
    <w:div w:id="1315647837">
      <w:bodyDiv w:val="1"/>
      <w:marLeft w:val="0"/>
      <w:marRight w:val="0"/>
      <w:marTop w:val="0"/>
      <w:marBottom w:val="0"/>
      <w:divBdr>
        <w:top w:val="none" w:sz="0" w:space="0" w:color="auto"/>
        <w:left w:val="none" w:sz="0" w:space="0" w:color="auto"/>
        <w:bottom w:val="none" w:sz="0" w:space="0" w:color="auto"/>
        <w:right w:val="none" w:sz="0" w:space="0" w:color="auto"/>
      </w:divBdr>
    </w:div>
    <w:div w:id="1316177911">
      <w:bodyDiv w:val="1"/>
      <w:marLeft w:val="0"/>
      <w:marRight w:val="0"/>
      <w:marTop w:val="0"/>
      <w:marBottom w:val="0"/>
      <w:divBdr>
        <w:top w:val="none" w:sz="0" w:space="0" w:color="auto"/>
        <w:left w:val="none" w:sz="0" w:space="0" w:color="auto"/>
        <w:bottom w:val="none" w:sz="0" w:space="0" w:color="auto"/>
        <w:right w:val="none" w:sz="0" w:space="0" w:color="auto"/>
      </w:divBdr>
    </w:div>
    <w:div w:id="1389189235">
      <w:bodyDiv w:val="1"/>
      <w:marLeft w:val="0"/>
      <w:marRight w:val="0"/>
      <w:marTop w:val="0"/>
      <w:marBottom w:val="0"/>
      <w:divBdr>
        <w:top w:val="none" w:sz="0" w:space="0" w:color="auto"/>
        <w:left w:val="none" w:sz="0" w:space="0" w:color="auto"/>
        <w:bottom w:val="none" w:sz="0" w:space="0" w:color="auto"/>
        <w:right w:val="none" w:sz="0" w:space="0" w:color="auto"/>
      </w:divBdr>
    </w:div>
    <w:div w:id="1397238051">
      <w:bodyDiv w:val="1"/>
      <w:marLeft w:val="0"/>
      <w:marRight w:val="0"/>
      <w:marTop w:val="0"/>
      <w:marBottom w:val="0"/>
      <w:divBdr>
        <w:top w:val="none" w:sz="0" w:space="0" w:color="auto"/>
        <w:left w:val="none" w:sz="0" w:space="0" w:color="auto"/>
        <w:bottom w:val="none" w:sz="0" w:space="0" w:color="auto"/>
        <w:right w:val="none" w:sz="0" w:space="0" w:color="auto"/>
      </w:divBdr>
    </w:div>
    <w:div w:id="1427379662">
      <w:bodyDiv w:val="1"/>
      <w:marLeft w:val="0"/>
      <w:marRight w:val="0"/>
      <w:marTop w:val="0"/>
      <w:marBottom w:val="0"/>
      <w:divBdr>
        <w:top w:val="none" w:sz="0" w:space="0" w:color="auto"/>
        <w:left w:val="none" w:sz="0" w:space="0" w:color="auto"/>
        <w:bottom w:val="none" w:sz="0" w:space="0" w:color="auto"/>
        <w:right w:val="none" w:sz="0" w:space="0" w:color="auto"/>
      </w:divBdr>
    </w:div>
    <w:div w:id="1518763732">
      <w:bodyDiv w:val="1"/>
      <w:marLeft w:val="0"/>
      <w:marRight w:val="0"/>
      <w:marTop w:val="0"/>
      <w:marBottom w:val="0"/>
      <w:divBdr>
        <w:top w:val="none" w:sz="0" w:space="0" w:color="auto"/>
        <w:left w:val="none" w:sz="0" w:space="0" w:color="auto"/>
        <w:bottom w:val="none" w:sz="0" w:space="0" w:color="auto"/>
        <w:right w:val="none" w:sz="0" w:space="0" w:color="auto"/>
      </w:divBdr>
    </w:div>
    <w:div w:id="1524711879">
      <w:bodyDiv w:val="1"/>
      <w:marLeft w:val="0"/>
      <w:marRight w:val="0"/>
      <w:marTop w:val="0"/>
      <w:marBottom w:val="0"/>
      <w:divBdr>
        <w:top w:val="none" w:sz="0" w:space="0" w:color="auto"/>
        <w:left w:val="none" w:sz="0" w:space="0" w:color="auto"/>
        <w:bottom w:val="none" w:sz="0" w:space="0" w:color="auto"/>
        <w:right w:val="none" w:sz="0" w:space="0" w:color="auto"/>
      </w:divBdr>
    </w:div>
    <w:div w:id="1526675382">
      <w:bodyDiv w:val="1"/>
      <w:marLeft w:val="0"/>
      <w:marRight w:val="0"/>
      <w:marTop w:val="0"/>
      <w:marBottom w:val="0"/>
      <w:divBdr>
        <w:top w:val="none" w:sz="0" w:space="0" w:color="auto"/>
        <w:left w:val="none" w:sz="0" w:space="0" w:color="auto"/>
        <w:bottom w:val="none" w:sz="0" w:space="0" w:color="auto"/>
        <w:right w:val="none" w:sz="0" w:space="0" w:color="auto"/>
      </w:divBdr>
    </w:div>
    <w:div w:id="1532298795">
      <w:bodyDiv w:val="1"/>
      <w:marLeft w:val="0"/>
      <w:marRight w:val="0"/>
      <w:marTop w:val="0"/>
      <w:marBottom w:val="0"/>
      <w:divBdr>
        <w:top w:val="none" w:sz="0" w:space="0" w:color="auto"/>
        <w:left w:val="none" w:sz="0" w:space="0" w:color="auto"/>
        <w:bottom w:val="none" w:sz="0" w:space="0" w:color="auto"/>
        <w:right w:val="none" w:sz="0" w:space="0" w:color="auto"/>
      </w:divBdr>
    </w:div>
    <w:div w:id="1546409852">
      <w:bodyDiv w:val="1"/>
      <w:marLeft w:val="0"/>
      <w:marRight w:val="0"/>
      <w:marTop w:val="0"/>
      <w:marBottom w:val="0"/>
      <w:divBdr>
        <w:top w:val="none" w:sz="0" w:space="0" w:color="auto"/>
        <w:left w:val="none" w:sz="0" w:space="0" w:color="auto"/>
        <w:bottom w:val="none" w:sz="0" w:space="0" w:color="auto"/>
        <w:right w:val="none" w:sz="0" w:space="0" w:color="auto"/>
      </w:divBdr>
    </w:div>
    <w:div w:id="1551845097">
      <w:bodyDiv w:val="1"/>
      <w:marLeft w:val="0"/>
      <w:marRight w:val="0"/>
      <w:marTop w:val="0"/>
      <w:marBottom w:val="0"/>
      <w:divBdr>
        <w:top w:val="none" w:sz="0" w:space="0" w:color="auto"/>
        <w:left w:val="none" w:sz="0" w:space="0" w:color="auto"/>
        <w:bottom w:val="none" w:sz="0" w:space="0" w:color="auto"/>
        <w:right w:val="none" w:sz="0" w:space="0" w:color="auto"/>
      </w:divBdr>
    </w:div>
    <w:div w:id="1571111473">
      <w:bodyDiv w:val="1"/>
      <w:marLeft w:val="0"/>
      <w:marRight w:val="0"/>
      <w:marTop w:val="0"/>
      <w:marBottom w:val="0"/>
      <w:divBdr>
        <w:top w:val="none" w:sz="0" w:space="0" w:color="auto"/>
        <w:left w:val="none" w:sz="0" w:space="0" w:color="auto"/>
        <w:bottom w:val="none" w:sz="0" w:space="0" w:color="auto"/>
        <w:right w:val="none" w:sz="0" w:space="0" w:color="auto"/>
      </w:divBdr>
    </w:div>
    <w:div w:id="1593396484">
      <w:bodyDiv w:val="1"/>
      <w:marLeft w:val="0"/>
      <w:marRight w:val="0"/>
      <w:marTop w:val="0"/>
      <w:marBottom w:val="0"/>
      <w:divBdr>
        <w:top w:val="none" w:sz="0" w:space="0" w:color="auto"/>
        <w:left w:val="none" w:sz="0" w:space="0" w:color="auto"/>
        <w:bottom w:val="none" w:sz="0" w:space="0" w:color="auto"/>
        <w:right w:val="none" w:sz="0" w:space="0" w:color="auto"/>
      </w:divBdr>
    </w:div>
    <w:div w:id="1599097807">
      <w:bodyDiv w:val="1"/>
      <w:marLeft w:val="0"/>
      <w:marRight w:val="0"/>
      <w:marTop w:val="0"/>
      <w:marBottom w:val="0"/>
      <w:divBdr>
        <w:top w:val="none" w:sz="0" w:space="0" w:color="auto"/>
        <w:left w:val="none" w:sz="0" w:space="0" w:color="auto"/>
        <w:bottom w:val="none" w:sz="0" w:space="0" w:color="auto"/>
        <w:right w:val="none" w:sz="0" w:space="0" w:color="auto"/>
      </w:divBdr>
    </w:div>
    <w:div w:id="1599555920">
      <w:bodyDiv w:val="1"/>
      <w:marLeft w:val="0"/>
      <w:marRight w:val="0"/>
      <w:marTop w:val="0"/>
      <w:marBottom w:val="0"/>
      <w:divBdr>
        <w:top w:val="none" w:sz="0" w:space="0" w:color="auto"/>
        <w:left w:val="none" w:sz="0" w:space="0" w:color="auto"/>
        <w:bottom w:val="none" w:sz="0" w:space="0" w:color="auto"/>
        <w:right w:val="none" w:sz="0" w:space="0" w:color="auto"/>
      </w:divBdr>
    </w:div>
    <w:div w:id="1721974562">
      <w:bodyDiv w:val="1"/>
      <w:marLeft w:val="0"/>
      <w:marRight w:val="0"/>
      <w:marTop w:val="0"/>
      <w:marBottom w:val="0"/>
      <w:divBdr>
        <w:top w:val="none" w:sz="0" w:space="0" w:color="auto"/>
        <w:left w:val="none" w:sz="0" w:space="0" w:color="auto"/>
        <w:bottom w:val="none" w:sz="0" w:space="0" w:color="auto"/>
        <w:right w:val="none" w:sz="0" w:space="0" w:color="auto"/>
      </w:divBdr>
    </w:div>
    <w:div w:id="1779061900">
      <w:bodyDiv w:val="1"/>
      <w:marLeft w:val="0"/>
      <w:marRight w:val="0"/>
      <w:marTop w:val="0"/>
      <w:marBottom w:val="0"/>
      <w:divBdr>
        <w:top w:val="none" w:sz="0" w:space="0" w:color="auto"/>
        <w:left w:val="none" w:sz="0" w:space="0" w:color="auto"/>
        <w:bottom w:val="none" w:sz="0" w:space="0" w:color="auto"/>
        <w:right w:val="none" w:sz="0" w:space="0" w:color="auto"/>
      </w:divBdr>
    </w:div>
    <w:div w:id="1781678640">
      <w:bodyDiv w:val="1"/>
      <w:marLeft w:val="0"/>
      <w:marRight w:val="0"/>
      <w:marTop w:val="0"/>
      <w:marBottom w:val="0"/>
      <w:divBdr>
        <w:top w:val="none" w:sz="0" w:space="0" w:color="auto"/>
        <w:left w:val="none" w:sz="0" w:space="0" w:color="auto"/>
        <w:bottom w:val="none" w:sz="0" w:space="0" w:color="auto"/>
        <w:right w:val="none" w:sz="0" w:space="0" w:color="auto"/>
      </w:divBdr>
    </w:div>
    <w:div w:id="1798454901">
      <w:bodyDiv w:val="1"/>
      <w:marLeft w:val="0"/>
      <w:marRight w:val="0"/>
      <w:marTop w:val="0"/>
      <w:marBottom w:val="0"/>
      <w:divBdr>
        <w:top w:val="none" w:sz="0" w:space="0" w:color="auto"/>
        <w:left w:val="none" w:sz="0" w:space="0" w:color="auto"/>
        <w:bottom w:val="none" w:sz="0" w:space="0" w:color="auto"/>
        <w:right w:val="none" w:sz="0" w:space="0" w:color="auto"/>
      </w:divBdr>
    </w:div>
    <w:div w:id="1800219739">
      <w:bodyDiv w:val="1"/>
      <w:marLeft w:val="0"/>
      <w:marRight w:val="0"/>
      <w:marTop w:val="0"/>
      <w:marBottom w:val="0"/>
      <w:divBdr>
        <w:top w:val="none" w:sz="0" w:space="0" w:color="auto"/>
        <w:left w:val="none" w:sz="0" w:space="0" w:color="auto"/>
        <w:bottom w:val="none" w:sz="0" w:space="0" w:color="auto"/>
        <w:right w:val="none" w:sz="0" w:space="0" w:color="auto"/>
      </w:divBdr>
    </w:div>
    <w:div w:id="1862664852">
      <w:bodyDiv w:val="1"/>
      <w:marLeft w:val="0"/>
      <w:marRight w:val="0"/>
      <w:marTop w:val="0"/>
      <w:marBottom w:val="0"/>
      <w:divBdr>
        <w:top w:val="none" w:sz="0" w:space="0" w:color="auto"/>
        <w:left w:val="none" w:sz="0" w:space="0" w:color="auto"/>
        <w:bottom w:val="none" w:sz="0" w:space="0" w:color="auto"/>
        <w:right w:val="none" w:sz="0" w:space="0" w:color="auto"/>
      </w:divBdr>
    </w:div>
    <w:div w:id="1879732766">
      <w:bodyDiv w:val="1"/>
      <w:marLeft w:val="0"/>
      <w:marRight w:val="0"/>
      <w:marTop w:val="0"/>
      <w:marBottom w:val="0"/>
      <w:divBdr>
        <w:top w:val="none" w:sz="0" w:space="0" w:color="auto"/>
        <w:left w:val="none" w:sz="0" w:space="0" w:color="auto"/>
        <w:bottom w:val="none" w:sz="0" w:space="0" w:color="auto"/>
        <w:right w:val="none" w:sz="0" w:space="0" w:color="auto"/>
      </w:divBdr>
      <w:divsChild>
        <w:div w:id="491069575">
          <w:marLeft w:val="0"/>
          <w:marRight w:val="0"/>
          <w:marTop w:val="0"/>
          <w:marBottom w:val="0"/>
          <w:divBdr>
            <w:top w:val="none" w:sz="0" w:space="0" w:color="auto"/>
            <w:left w:val="none" w:sz="0" w:space="0" w:color="auto"/>
            <w:bottom w:val="none" w:sz="0" w:space="0" w:color="auto"/>
            <w:right w:val="none" w:sz="0" w:space="0" w:color="auto"/>
          </w:divBdr>
          <w:divsChild>
            <w:div w:id="1225723025">
              <w:marLeft w:val="0"/>
              <w:marRight w:val="0"/>
              <w:marTop w:val="0"/>
              <w:marBottom w:val="0"/>
              <w:divBdr>
                <w:top w:val="none" w:sz="0" w:space="0" w:color="auto"/>
                <w:left w:val="none" w:sz="0" w:space="0" w:color="auto"/>
                <w:bottom w:val="none" w:sz="0" w:space="0" w:color="auto"/>
                <w:right w:val="none" w:sz="0" w:space="0" w:color="auto"/>
              </w:divBdr>
              <w:divsChild>
                <w:div w:id="868179399">
                  <w:marLeft w:val="0"/>
                  <w:marRight w:val="0"/>
                  <w:marTop w:val="0"/>
                  <w:marBottom w:val="0"/>
                  <w:divBdr>
                    <w:top w:val="none" w:sz="0" w:space="0" w:color="auto"/>
                    <w:left w:val="none" w:sz="0" w:space="0" w:color="auto"/>
                    <w:bottom w:val="none" w:sz="0" w:space="0" w:color="auto"/>
                    <w:right w:val="none" w:sz="0" w:space="0" w:color="auto"/>
                  </w:divBdr>
                  <w:divsChild>
                    <w:div w:id="1962376919">
                      <w:marLeft w:val="0"/>
                      <w:marRight w:val="0"/>
                      <w:marTop w:val="0"/>
                      <w:marBottom w:val="0"/>
                      <w:divBdr>
                        <w:top w:val="none" w:sz="0" w:space="0" w:color="auto"/>
                        <w:left w:val="none" w:sz="0" w:space="0" w:color="auto"/>
                        <w:bottom w:val="none" w:sz="0" w:space="0" w:color="auto"/>
                        <w:right w:val="none" w:sz="0" w:space="0" w:color="auto"/>
                      </w:divBdr>
                      <w:divsChild>
                        <w:div w:id="862979529">
                          <w:marLeft w:val="0"/>
                          <w:marRight w:val="0"/>
                          <w:marTop w:val="0"/>
                          <w:marBottom w:val="0"/>
                          <w:divBdr>
                            <w:top w:val="none" w:sz="0" w:space="0" w:color="auto"/>
                            <w:left w:val="none" w:sz="0" w:space="0" w:color="auto"/>
                            <w:bottom w:val="none" w:sz="0" w:space="0" w:color="auto"/>
                            <w:right w:val="none" w:sz="0" w:space="0" w:color="auto"/>
                          </w:divBdr>
                          <w:divsChild>
                            <w:div w:id="507251814">
                              <w:marLeft w:val="0"/>
                              <w:marRight w:val="0"/>
                              <w:marTop w:val="0"/>
                              <w:marBottom w:val="0"/>
                              <w:divBdr>
                                <w:top w:val="none" w:sz="0" w:space="0" w:color="auto"/>
                                <w:left w:val="none" w:sz="0" w:space="0" w:color="auto"/>
                                <w:bottom w:val="none" w:sz="0" w:space="0" w:color="auto"/>
                                <w:right w:val="none" w:sz="0" w:space="0" w:color="auto"/>
                              </w:divBdr>
                              <w:divsChild>
                                <w:div w:id="3046295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860312">
      <w:bodyDiv w:val="1"/>
      <w:marLeft w:val="0"/>
      <w:marRight w:val="0"/>
      <w:marTop w:val="0"/>
      <w:marBottom w:val="0"/>
      <w:divBdr>
        <w:top w:val="none" w:sz="0" w:space="0" w:color="auto"/>
        <w:left w:val="none" w:sz="0" w:space="0" w:color="auto"/>
        <w:bottom w:val="none" w:sz="0" w:space="0" w:color="auto"/>
        <w:right w:val="none" w:sz="0" w:space="0" w:color="auto"/>
      </w:divBdr>
    </w:div>
    <w:div w:id="1935162299">
      <w:bodyDiv w:val="1"/>
      <w:marLeft w:val="0"/>
      <w:marRight w:val="0"/>
      <w:marTop w:val="0"/>
      <w:marBottom w:val="0"/>
      <w:divBdr>
        <w:top w:val="none" w:sz="0" w:space="0" w:color="auto"/>
        <w:left w:val="none" w:sz="0" w:space="0" w:color="auto"/>
        <w:bottom w:val="none" w:sz="0" w:space="0" w:color="auto"/>
        <w:right w:val="none" w:sz="0" w:space="0" w:color="auto"/>
      </w:divBdr>
    </w:div>
    <w:div w:id="1945720335">
      <w:bodyDiv w:val="1"/>
      <w:marLeft w:val="0"/>
      <w:marRight w:val="0"/>
      <w:marTop w:val="0"/>
      <w:marBottom w:val="0"/>
      <w:divBdr>
        <w:top w:val="none" w:sz="0" w:space="0" w:color="auto"/>
        <w:left w:val="none" w:sz="0" w:space="0" w:color="auto"/>
        <w:bottom w:val="none" w:sz="0" w:space="0" w:color="auto"/>
        <w:right w:val="none" w:sz="0" w:space="0" w:color="auto"/>
      </w:divBdr>
    </w:div>
    <w:div w:id="1964337234">
      <w:bodyDiv w:val="1"/>
      <w:marLeft w:val="0"/>
      <w:marRight w:val="0"/>
      <w:marTop w:val="0"/>
      <w:marBottom w:val="0"/>
      <w:divBdr>
        <w:top w:val="none" w:sz="0" w:space="0" w:color="auto"/>
        <w:left w:val="none" w:sz="0" w:space="0" w:color="auto"/>
        <w:bottom w:val="none" w:sz="0" w:space="0" w:color="auto"/>
        <w:right w:val="none" w:sz="0" w:space="0" w:color="auto"/>
      </w:divBdr>
    </w:div>
    <w:div w:id="2040006101">
      <w:bodyDiv w:val="1"/>
      <w:marLeft w:val="0"/>
      <w:marRight w:val="0"/>
      <w:marTop w:val="0"/>
      <w:marBottom w:val="0"/>
      <w:divBdr>
        <w:top w:val="none" w:sz="0" w:space="0" w:color="auto"/>
        <w:left w:val="none" w:sz="0" w:space="0" w:color="auto"/>
        <w:bottom w:val="none" w:sz="0" w:space="0" w:color="auto"/>
        <w:right w:val="none" w:sz="0" w:space="0" w:color="auto"/>
      </w:divBdr>
    </w:div>
    <w:div w:id="2041203691">
      <w:bodyDiv w:val="1"/>
      <w:marLeft w:val="0"/>
      <w:marRight w:val="0"/>
      <w:marTop w:val="0"/>
      <w:marBottom w:val="0"/>
      <w:divBdr>
        <w:top w:val="none" w:sz="0" w:space="0" w:color="auto"/>
        <w:left w:val="none" w:sz="0" w:space="0" w:color="auto"/>
        <w:bottom w:val="none" w:sz="0" w:space="0" w:color="auto"/>
        <w:right w:val="none" w:sz="0" w:space="0" w:color="auto"/>
      </w:divBdr>
    </w:div>
    <w:div w:id="2076077064">
      <w:bodyDiv w:val="1"/>
      <w:marLeft w:val="0"/>
      <w:marRight w:val="0"/>
      <w:marTop w:val="0"/>
      <w:marBottom w:val="0"/>
      <w:divBdr>
        <w:top w:val="none" w:sz="0" w:space="0" w:color="auto"/>
        <w:left w:val="none" w:sz="0" w:space="0" w:color="auto"/>
        <w:bottom w:val="none" w:sz="0" w:space="0" w:color="auto"/>
        <w:right w:val="none" w:sz="0" w:space="0" w:color="auto"/>
      </w:divBdr>
    </w:div>
    <w:div w:id="2116247472">
      <w:bodyDiv w:val="1"/>
      <w:marLeft w:val="0"/>
      <w:marRight w:val="0"/>
      <w:marTop w:val="0"/>
      <w:marBottom w:val="0"/>
      <w:divBdr>
        <w:top w:val="none" w:sz="0" w:space="0" w:color="auto"/>
        <w:left w:val="none" w:sz="0" w:space="0" w:color="auto"/>
        <w:bottom w:val="none" w:sz="0" w:space="0" w:color="auto"/>
        <w:right w:val="none" w:sz="0" w:space="0" w:color="auto"/>
      </w:divBdr>
    </w:div>
    <w:div w:id="21473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theme" Target="theme/theme1.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6" Type="http://schemas.openxmlformats.org/officeDocument/2006/relationships/chart" Target="charts/chart4.xml"/><Relationship Id="rId107" Type="http://schemas.openxmlformats.org/officeDocument/2006/relationships/chart" Target="charts/chart95.xml"/><Relationship Id="rId11" Type="http://schemas.openxmlformats.org/officeDocument/2006/relationships/image" Target="media/image2.gif"/><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74" Type="http://schemas.openxmlformats.org/officeDocument/2006/relationships/chart" Target="charts/chart62.xml"/><Relationship Id="rId79" Type="http://schemas.openxmlformats.org/officeDocument/2006/relationships/chart" Target="charts/chart67.xml"/><Relationship Id="rId87" Type="http://schemas.openxmlformats.org/officeDocument/2006/relationships/chart" Target="charts/chart75.xml"/><Relationship Id="rId102" Type="http://schemas.openxmlformats.org/officeDocument/2006/relationships/chart" Target="charts/chart90.xml"/><Relationship Id="rId110" Type="http://schemas.openxmlformats.org/officeDocument/2006/relationships/chart" Target="charts/chart98.xml"/><Relationship Id="rId115"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chart" Target="charts/chart49.xml"/><Relationship Id="rId82" Type="http://schemas.openxmlformats.org/officeDocument/2006/relationships/chart" Target="charts/chart70.xml"/><Relationship Id="rId90" Type="http://schemas.openxmlformats.org/officeDocument/2006/relationships/chart" Target="charts/chart78.xml"/><Relationship Id="rId95" Type="http://schemas.openxmlformats.org/officeDocument/2006/relationships/chart" Target="charts/chart83.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103" Type="http://schemas.openxmlformats.org/officeDocument/2006/relationships/chart" Target="charts/chart91.xml"/><Relationship Id="rId108" Type="http://schemas.openxmlformats.org/officeDocument/2006/relationships/chart" Target="charts/chart96.xml"/><Relationship Id="rId116"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11" Type="http://schemas.openxmlformats.org/officeDocument/2006/relationships/chart" Target="charts/chart9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6" Type="http://schemas.openxmlformats.org/officeDocument/2006/relationships/chart" Target="charts/chart94.xml"/><Relationship Id="rId114" Type="http://schemas.openxmlformats.org/officeDocument/2006/relationships/footer" Target="footer4.xml"/><Relationship Id="rId10" Type="http://schemas.openxmlformats.org/officeDocument/2006/relationships/footer" Target="footer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7" Type="http://schemas.openxmlformats.org/officeDocument/2006/relationships/footnotes" Target="footnotes.xml"/><Relationship Id="rId71" Type="http://schemas.openxmlformats.org/officeDocument/2006/relationships/chart" Target="charts/chart59.xml"/><Relationship Id="rId92" Type="http://schemas.openxmlformats.org/officeDocument/2006/relationships/chart" Target="charts/chart80.xml"/><Relationship Id="rId2" Type="http://schemas.openxmlformats.org/officeDocument/2006/relationships/numbering" Target="numbering.xml"/><Relationship Id="rId29"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9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195521\Desktop\Health%20Survey\Doctor%20Told%20Ailment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195521\Desktop\Health%20Survey\Carer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195521\Desktop\Health%20Survey\Carer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195521\Desktop\Health%20Survey\Doctor%20Told%20Ailment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195521\Desktop\Health%20Survey\Doctor%20Told%20Ailments.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195521\Desktop\Health%20Survey\Doctor%20Told%20Ailment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195521\Desktop\Health%20Survey\EQ5D.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195521\Desktop\Health%20Survey\EQ5D.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195521\Desktop\Health%20Survey\EQ5D.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1195521\Desktop\Health%20Survey\EQ5D.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1195521\Desktop\Health%20Survey\General%20Health%20section.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195521\Desktop\Health%20Survey\A&amp;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1195521\Desktop\Health%20Survey\Inpatients.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1195521\Desktop\Health%20Survey\Inpatients.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1195521\Desktop\Health%20Survey\Inpatients.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1195521\Desktop\Health%20Survey\Inpatients.xlsx"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1195521\Desktop\Health%20Survey\Outpatients.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1195521\Desktop\Health%20Survey\Outpatients.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1195521\Desktop\Health%20Survey\A&amp;E.xlsx" TargetMode="External"/><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1195521\Desktop\Health%20Survey\A&amp;E.xlsx" TargetMode="External"/><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1195521\Desktop\Health%20Survey\A&amp;E.xlsx" TargetMode="External"/><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1195521\Desktop\Health%20Survey\GP.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1195521\Desktop\Health%20Survey\GP.xlsx" TargetMode="External"/><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1195521\Desktop\Health%20Survey\Complaints%20+%20PPI.xlsx" TargetMode="External"/><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1195521\Desktop\Health%20Survey\Smoking%20ideas.xlsx" TargetMode="External"/><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1195521\Desktop\Health%20Survey\Smoking%20ideas.xlsx" TargetMode="External"/><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1195521\Desktop\Health%20Survey\Smoking%20ideas.xlsx" TargetMode="External"/><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moking%20ideas.xlsx" TargetMode="External"/><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1195521\Desktop\Health%20Survey\Smoking%20ideas.xlsx" TargetMode="External"/><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1195521\Desktop\Health%20Survey\Smoking%20ideas.xlsx" TargetMode="External"/><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moking%20ideas.xlsx" TargetMode="External"/><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moking%20ideas.xlsx" TargetMode="External"/><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oleObject" Target="file:///\\cbhpublic1\publiciad\Information%20Analysis%20Directorate\DAIRU\Health%20Survey%20Northern%20Ireland\dataset\2012-13\Smoking%20ideas.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moking%20ideas.xlsx"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moking%20ideas.xlsx"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1" Type="http://schemas.openxmlformats.org/officeDocument/2006/relationships/oleObject" Target="file:///\\cbhpublic1\publiciad\Information%20Analysis%20Directorate\DAIRU\Health%20Survey%20Northern%20Ireland\dataset\2012-13\Smoking%20idea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bhpublic1\publiciad\Information%20Analysis%20Directorate\DAIRU\Health%20Survey%20Northern%20Ireland\dataset\2012-13\Smoking%20idea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1195521\Desktop\Health%20Survey\Smoking%20ideas.xlsx"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file:///C:\Users\1195521\Desktop\Health%20Survey\Adult%20weight.xlsx" TargetMode="External"/><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1195521\Desktop\Health%20Survey\Adult%20weight.xlsx" TargetMode="External"/><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1195521\Desktop\Health%20Survey\Adult%20weight.xlsx" TargetMode="External"/><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1195521\Desktop\Health%20Survey\Adult%20weight.xlsx" TargetMode="External"/><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1195521\Desktop\Health%20Survey\Adult%20weight.xlsx" TargetMode="External"/><Relationship Id="rId1" Type="http://schemas.openxmlformats.org/officeDocument/2006/relationships/themeOverride" Target="../theme/themeOverride54.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56.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57.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58.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59.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60.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61.xml"/></Relationships>
</file>

<file path=word/charts/_rels/chart68.xml.rels><?xml version="1.0" encoding="UTF-8" standalone="yes"?>
<Relationships xmlns="http://schemas.openxmlformats.org/package/2006/relationships"><Relationship Id="rId1" Type="http://schemas.openxmlformats.org/officeDocument/2006/relationships/oleObject" Target="file:///C:\Users\1195521\Desktop\Health%20Survey\Physical%20activity%20and%20inactivity.xlsx" TargetMode="External"/></Relationships>
</file>

<file path=word/charts/_rels/chart69.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63.xml"/></Relationships>
</file>

<file path=word/charts/_rels/chart71.xml.rels><?xml version="1.0" encoding="UTF-8" standalone="yes"?>
<Relationships xmlns="http://schemas.openxmlformats.org/package/2006/relationships"><Relationship Id="rId1" Type="http://schemas.openxmlformats.org/officeDocument/2006/relationships/oleObject" Target="file:///C:\Users\1195521\Desktop\Health%20Survey\Physical%20activity%20and%20inactivity.xlsx" TargetMode="External"/></Relationships>
</file>

<file path=word/charts/_rels/chart72.xml.rels><?xml version="1.0" encoding="UTF-8" standalone="yes"?>
<Relationships xmlns="http://schemas.openxmlformats.org/package/2006/relationships"><Relationship Id="rId2" Type="http://schemas.openxmlformats.org/officeDocument/2006/relationships/oleObject" Target="file:///C:\Users\1195521\Desktop\Health%20Survey\Physical%20activity%20and%20inactivity.xlsx" TargetMode="External"/><Relationship Id="rId1" Type="http://schemas.openxmlformats.org/officeDocument/2006/relationships/themeOverride" Target="../theme/themeOverride64.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1195521\Desktop\Health%20Survey\Child%20Health.xlsx" TargetMode="External"/><Relationship Id="rId1" Type="http://schemas.openxmlformats.org/officeDocument/2006/relationships/themeOverride" Target="../theme/themeOverride65.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1195521\Desktop\Health%20Survey\Child%20weight.xlsx" TargetMode="External"/><Relationship Id="rId1" Type="http://schemas.openxmlformats.org/officeDocument/2006/relationships/themeOverride" Target="../theme/themeOverride66.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67.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68.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69.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70.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71.xml"/></Relationships>
</file>

<file path=word/charts/_rels/chart8.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1195521\Desktop\Health%20Survey\Breastfeeding.xlsx" TargetMode="External"/><Relationship Id="rId1" Type="http://schemas.openxmlformats.org/officeDocument/2006/relationships/themeOverride" Target="../theme/themeOverride72.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3.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4.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5.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6.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7.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1195521\Desktop\Health%20Survey\Sun%20Health.xlsx" TargetMode="External"/><Relationship Id="rId1" Type="http://schemas.openxmlformats.org/officeDocument/2006/relationships/themeOverride" Target="../theme/themeOverride78.xml"/></Relationships>
</file>

<file path=word/charts/_rels/chart87.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79.xml"/></Relationships>
</file>

<file path=word/charts/_rels/chart88.xml.rels><?xml version="1.0" encoding="UTF-8" standalone="yes"?>
<Relationships xmlns="http://schemas.openxmlformats.org/package/2006/relationships"><Relationship Id="rId1" Type="http://schemas.openxmlformats.org/officeDocument/2006/relationships/oleObject" Target="file:///\\cbhpublic1\publiciad\Information%20Analysis%20Directorate\DAIRU\Health%20Survey%20Northern%20Ireland\dataset\2012-13\Sexual%20Health%20ideas.xlsx" TargetMode="External"/></Relationships>
</file>

<file path=word/charts/_rels/chart89.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General%20Health%20section.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file:///C:\Users\1195521\Desktop\Health%20Survey\Sexual%20Health%20ideas.xlsx" TargetMode="External"/><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2" Type="http://schemas.openxmlformats.org/officeDocument/2006/relationships/oleObject" Target="file:///C:\Users\1195521\Desktop\Health%20Survey\Sexual%20Health%20ideas.xlsx" TargetMode="External"/><Relationship Id="rId1" Type="http://schemas.openxmlformats.org/officeDocument/2006/relationships/themeOverride" Target="../theme/themeOverride82.xml"/></Relationships>
</file>

<file path=word/charts/_rels/chart92.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3.xml"/></Relationships>
</file>

<file path=word/charts/_rels/chart93.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6.xml"/></Relationships>
</file>

<file path=word/charts/_rels/chart96.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7.xml"/></Relationships>
</file>

<file path=word/charts/_rels/chart97.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8.xml"/></Relationships>
</file>

<file path=word/charts/_rels/chart98.xml.rels><?xml version="1.0" encoding="UTF-8" standalone="yes"?>
<Relationships xmlns="http://schemas.openxmlformats.org/package/2006/relationships"><Relationship Id="rId1" Type="http://schemas.openxmlformats.org/officeDocument/2006/relationships/oleObject" Target="file:///\\cbhpublic1\publiciad\Information%20Analysis%20Directorate\DAIRU\Health%20Survey%20Northern%20Ireland\dataset\2012-13\Sexual%20Health%20ideas.xlsx" TargetMode="External"/></Relationships>
</file>

<file path=word/charts/_rels/chart99.xml.rels><?xml version="1.0" encoding="UTF-8" standalone="yes"?>
<Relationships xmlns="http://schemas.openxmlformats.org/package/2006/relationships"><Relationship Id="rId2" Type="http://schemas.openxmlformats.org/officeDocument/2006/relationships/oleObject" Target="file:///\\cbhpublic1\publiciad\Information%20Analysis%20Directorate\DAIRU\Health%20Survey%20Northern%20Ireland\dataset\2012-13\Sexual%20Health%20ideas.xlsx" TargetMode="External"/><Relationship Id="rId1" Type="http://schemas.openxmlformats.org/officeDocument/2006/relationships/themeOverride" Target="../theme/themeOverride8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Health in General</a:t>
            </a:r>
          </a:p>
        </c:rich>
      </c:tx>
      <c:layout>
        <c:manualLayout>
          <c:xMode val="edge"/>
          <c:yMode val="edge"/>
          <c:x val="2.1044723588746097E-3"/>
          <c:y val="0"/>
        </c:manualLayout>
      </c:layout>
      <c:overlay val="0"/>
    </c:title>
    <c:autoTitleDeleted val="0"/>
    <c:plotArea>
      <c:layout>
        <c:manualLayout>
          <c:layoutTarget val="inner"/>
          <c:xMode val="edge"/>
          <c:yMode val="edge"/>
          <c:x val="0.10870604830783828"/>
          <c:y val="0.14113700564971737"/>
          <c:w val="0.86894724062575956"/>
          <c:h val="0.73300376647834364"/>
        </c:manualLayout>
      </c:layout>
      <c:barChart>
        <c:barDir val="col"/>
        <c:grouping val="clustered"/>
        <c:varyColors val="0"/>
        <c:ser>
          <c:idx val="0"/>
          <c:order val="0"/>
          <c:tx>
            <c:strRef>
              <c:f>'General Health'!$B$33</c:f>
              <c:strCache>
                <c:ptCount val="1"/>
              </c:strCache>
            </c:strRef>
          </c:tx>
          <c:spPr>
            <a:solidFill>
              <a:srgbClr val="4F81B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'General Health'!$A$34:$A$37</c:f>
              <c:strCache>
                <c:ptCount val="4"/>
                <c:pt idx="0">
                  <c:v>Very Good</c:v>
                </c:pt>
                <c:pt idx="1">
                  <c:v>Good</c:v>
                </c:pt>
                <c:pt idx="2">
                  <c:v>Fair</c:v>
                </c:pt>
                <c:pt idx="3">
                  <c:v>Bad / Very Bad</c:v>
                </c:pt>
              </c:strCache>
            </c:strRef>
          </c:cat>
          <c:val>
            <c:numRef>
              <c:f>'General Health'!$B$34:$B$37</c:f>
              <c:numCache>
                <c:formatCode>0</c:formatCode>
                <c:ptCount val="4"/>
                <c:pt idx="0">
                  <c:v>32.154182272367144</c:v>
                </c:pt>
                <c:pt idx="1">
                  <c:v>40.124163059500354</c:v>
                </c:pt>
                <c:pt idx="2">
                  <c:v>18.701031014979087</c:v>
                </c:pt>
                <c:pt idx="3">
                  <c:v>9.0206236531530486</c:v>
                </c:pt>
              </c:numCache>
            </c:numRef>
          </c:val>
        </c:ser>
        <c:dLbls>
          <c:showLegendKey val="0"/>
          <c:showVal val="0"/>
          <c:showCatName val="0"/>
          <c:showSerName val="0"/>
          <c:showPercent val="0"/>
          <c:showBubbleSize val="0"/>
        </c:dLbls>
        <c:gapWidth val="150"/>
        <c:axId val="24499712"/>
        <c:axId val="24501248"/>
      </c:barChart>
      <c:catAx>
        <c:axId val="24499712"/>
        <c:scaling>
          <c:orientation val="minMax"/>
        </c:scaling>
        <c:delete val="0"/>
        <c:axPos val="b"/>
        <c:majorTickMark val="out"/>
        <c:minorTickMark val="none"/>
        <c:tickLblPos val="nextTo"/>
        <c:txPr>
          <a:bodyPr/>
          <a:lstStyle/>
          <a:p>
            <a:pPr>
              <a:defRPr sz="900"/>
            </a:pPr>
            <a:endParaRPr lang="en-US"/>
          </a:p>
        </c:txPr>
        <c:crossAx val="24501248"/>
        <c:crosses val="autoZero"/>
        <c:auto val="1"/>
        <c:lblAlgn val="ctr"/>
        <c:lblOffset val="100"/>
        <c:noMultiLvlLbl val="0"/>
      </c:catAx>
      <c:valAx>
        <c:axId val="24501248"/>
        <c:scaling>
          <c:orientation val="minMax"/>
          <c:max val="50"/>
        </c:scaling>
        <c:delete val="0"/>
        <c:axPos val="l"/>
        <c:title>
          <c:tx>
            <c:rich>
              <a:bodyPr rot="0" vert="horz"/>
              <a:lstStyle/>
              <a:p>
                <a:pPr>
                  <a:defRPr sz="900"/>
                </a:pPr>
                <a:r>
                  <a:rPr lang="en-GB" sz="900"/>
                  <a:t>%</a:t>
                </a:r>
              </a:p>
            </c:rich>
          </c:tx>
          <c:layout>
            <c:manualLayout>
              <c:xMode val="edge"/>
              <c:yMode val="edge"/>
              <c:x val="1.4251852879623524E-3"/>
              <c:y val="0.45162685185185242"/>
            </c:manualLayout>
          </c:layout>
          <c:overlay val="0"/>
        </c:title>
        <c:numFmt formatCode="0" sourceLinked="1"/>
        <c:majorTickMark val="out"/>
        <c:minorTickMark val="none"/>
        <c:tickLblPos val="nextTo"/>
        <c:txPr>
          <a:bodyPr/>
          <a:lstStyle/>
          <a:p>
            <a:pPr>
              <a:defRPr sz="900"/>
            </a:pPr>
            <a:endParaRPr lang="en-US"/>
          </a:p>
        </c:txPr>
        <c:crossAx val="24499712"/>
        <c:crosses val="autoZero"/>
        <c:crossBetween val="between"/>
        <c:majorUnit val="10"/>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Health compared with 12 months ago by Age</a:t>
            </a:r>
          </a:p>
        </c:rich>
      </c:tx>
      <c:layout>
        <c:manualLayout>
          <c:xMode val="edge"/>
          <c:yMode val="edge"/>
          <c:x val="9.8373165909326245E-4"/>
          <c:y val="2.1598639455782307E-2"/>
        </c:manualLayout>
      </c:layout>
      <c:overlay val="0"/>
    </c:title>
    <c:autoTitleDeleted val="0"/>
    <c:plotArea>
      <c:layout>
        <c:manualLayout>
          <c:layoutTarget val="inner"/>
          <c:xMode val="edge"/>
          <c:yMode val="edge"/>
          <c:x val="0.11373452192349859"/>
          <c:y val="0.15149814814814852"/>
          <c:w val="0.88372939869002864"/>
          <c:h val="0.67257074074074052"/>
        </c:manualLayout>
      </c:layout>
      <c:barChart>
        <c:barDir val="col"/>
        <c:grouping val="stacked"/>
        <c:varyColors val="0"/>
        <c:ser>
          <c:idx val="0"/>
          <c:order val="0"/>
          <c:tx>
            <c:strRef>
              <c:f>'Health compared with year ago'!$A$34</c:f>
              <c:strCache>
                <c:ptCount val="1"/>
                <c:pt idx="0">
                  <c:v>Better</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'Health compared with year ago'!$Q$33:$W$33</c:f>
              <c:strCache>
                <c:ptCount val="7"/>
                <c:pt idx="0">
                  <c:v>18-24</c:v>
                </c:pt>
                <c:pt idx="1">
                  <c:v>25-34</c:v>
                </c:pt>
                <c:pt idx="2">
                  <c:v>35-44</c:v>
                </c:pt>
                <c:pt idx="3">
                  <c:v>45-54</c:v>
                </c:pt>
                <c:pt idx="4">
                  <c:v>55-64</c:v>
                </c:pt>
                <c:pt idx="5">
                  <c:v>65-74</c:v>
                </c:pt>
                <c:pt idx="6">
                  <c:v>75+</c:v>
                </c:pt>
              </c:strCache>
            </c:strRef>
          </c:cat>
          <c:val>
            <c:numRef>
              <c:f>'Health compared with year ago'!$Q$34:$W$34</c:f>
              <c:numCache>
                <c:formatCode>0</c:formatCode>
                <c:ptCount val="7"/>
                <c:pt idx="0">
                  <c:v>17.446659836822587</c:v>
                </c:pt>
                <c:pt idx="1">
                  <c:v>13.466164812990106</c:v>
                </c:pt>
                <c:pt idx="2">
                  <c:v>15.907055182993448</c:v>
                </c:pt>
                <c:pt idx="3">
                  <c:v>12.142248082180448</c:v>
                </c:pt>
                <c:pt idx="4">
                  <c:v>11.721715873770243</c:v>
                </c:pt>
                <c:pt idx="5">
                  <c:v>10.479022268203074</c:v>
                </c:pt>
                <c:pt idx="6">
                  <c:v>8.1390324035844053</c:v>
                </c:pt>
              </c:numCache>
            </c:numRef>
          </c:val>
        </c:ser>
        <c:ser>
          <c:idx val="1"/>
          <c:order val="1"/>
          <c:tx>
            <c:strRef>
              <c:f>'Health compared with year ago'!$A$35</c:f>
              <c:strCache>
                <c:ptCount val="1"/>
                <c:pt idx="0">
                  <c:v>The Same</c:v>
                </c:pt>
              </c:strCache>
            </c:strRef>
          </c:tx>
          <c:spPr>
            <a:solidFill>
              <a:srgbClr val="4F81BD">
                <a:lumMod val="60000"/>
                <a:lumOff val="40000"/>
              </a:srgbClr>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'Health compared with year ago'!$Q$33:$W$33</c:f>
              <c:strCache>
                <c:ptCount val="7"/>
                <c:pt idx="0">
                  <c:v>18-24</c:v>
                </c:pt>
                <c:pt idx="1">
                  <c:v>25-34</c:v>
                </c:pt>
                <c:pt idx="2">
                  <c:v>35-44</c:v>
                </c:pt>
                <c:pt idx="3">
                  <c:v>45-54</c:v>
                </c:pt>
                <c:pt idx="4">
                  <c:v>55-64</c:v>
                </c:pt>
                <c:pt idx="5">
                  <c:v>65-74</c:v>
                </c:pt>
                <c:pt idx="6">
                  <c:v>75+</c:v>
                </c:pt>
              </c:strCache>
            </c:strRef>
          </c:cat>
          <c:val>
            <c:numRef>
              <c:f>'Health compared with year ago'!$Q$35:$W$35</c:f>
              <c:numCache>
                <c:formatCode>0</c:formatCode>
                <c:ptCount val="7"/>
                <c:pt idx="0">
                  <c:v>74.066571756073358</c:v>
                </c:pt>
                <c:pt idx="1">
                  <c:v>78.410518388438547</c:v>
                </c:pt>
                <c:pt idx="2">
                  <c:v>69.8508692363107</c:v>
                </c:pt>
                <c:pt idx="3">
                  <c:v>70.634264088221343</c:v>
                </c:pt>
                <c:pt idx="4">
                  <c:v>65.678393599027658</c:v>
                </c:pt>
                <c:pt idx="5">
                  <c:v>66.335650258432111</c:v>
                </c:pt>
                <c:pt idx="6">
                  <c:v>60.083897479903477</c:v>
                </c:pt>
              </c:numCache>
            </c:numRef>
          </c:val>
        </c:ser>
        <c:ser>
          <c:idx val="2"/>
          <c:order val="2"/>
          <c:tx>
            <c:strRef>
              <c:f>'Health compared with year ago'!$A$36</c:f>
              <c:strCache>
                <c:ptCount val="1"/>
                <c:pt idx="0">
                  <c:v>Worse</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'Health compared with year ago'!$Q$33:$W$33</c:f>
              <c:strCache>
                <c:ptCount val="7"/>
                <c:pt idx="0">
                  <c:v>18-24</c:v>
                </c:pt>
                <c:pt idx="1">
                  <c:v>25-34</c:v>
                </c:pt>
                <c:pt idx="2">
                  <c:v>35-44</c:v>
                </c:pt>
                <c:pt idx="3">
                  <c:v>45-54</c:v>
                </c:pt>
                <c:pt idx="4">
                  <c:v>55-64</c:v>
                </c:pt>
                <c:pt idx="5">
                  <c:v>65-74</c:v>
                </c:pt>
                <c:pt idx="6">
                  <c:v>75+</c:v>
                </c:pt>
              </c:strCache>
            </c:strRef>
          </c:cat>
          <c:val>
            <c:numRef>
              <c:f>'Health compared with year ago'!$Q$36:$W$36</c:f>
              <c:numCache>
                <c:formatCode>0</c:formatCode>
                <c:ptCount val="7"/>
                <c:pt idx="0">
                  <c:v>8.486768407103563</c:v>
                </c:pt>
                <c:pt idx="1">
                  <c:v>8.1233167985713219</c:v>
                </c:pt>
                <c:pt idx="2">
                  <c:v>14.242075580696048</c:v>
                </c:pt>
                <c:pt idx="3">
                  <c:v>17.223487829599229</c:v>
                </c:pt>
                <c:pt idx="4">
                  <c:v>22.599890527200991</c:v>
                </c:pt>
                <c:pt idx="5">
                  <c:v>23.185327473364833</c:v>
                </c:pt>
                <c:pt idx="6">
                  <c:v>31.777070116511531</c:v>
                </c:pt>
              </c:numCache>
            </c:numRef>
          </c:val>
        </c:ser>
        <c:dLbls>
          <c:showLegendKey val="0"/>
          <c:showVal val="1"/>
          <c:showCatName val="0"/>
          <c:showSerName val="0"/>
          <c:showPercent val="0"/>
          <c:showBubbleSize val="0"/>
        </c:dLbls>
        <c:gapWidth val="70"/>
        <c:overlap val="100"/>
        <c:axId val="130491904"/>
        <c:axId val="130493440"/>
      </c:barChart>
      <c:catAx>
        <c:axId val="130491904"/>
        <c:scaling>
          <c:orientation val="minMax"/>
        </c:scaling>
        <c:delete val="0"/>
        <c:axPos val="b"/>
        <c:majorTickMark val="out"/>
        <c:minorTickMark val="none"/>
        <c:tickLblPos val="nextTo"/>
        <c:txPr>
          <a:bodyPr/>
          <a:lstStyle/>
          <a:p>
            <a:pPr>
              <a:defRPr sz="900"/>
            </a:pPr>
            <a:endParaRPr lang="en-US"/>
          </a:p>
        </c:txPr>
        <c:crossAx val="130493440"/>
        <c:crosses val="autoZero"/>
        <c:auto val="1"/>
        <c:lblAlgn val="ctr"/>
        <c:lblOffset val="100"/>
        <c:noMultiLvlLbl val="0"/>
      </c:catAx>
      <c:valAx>
        <c:axId val="13049344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0491904"/>
        <c:crosses val="autoZero"/>
        <c:crossBetween val="between"/>
        <c:majorUnit val="20"/>
      </c:valAx>
    </c:plotArea>
    <c:legend>
      <c:legendPos val="b"/>
      <c:layout>
        <c:manualLayout>
          <c:xMode val="edge"/>
          <c:yMode val="edge"/>
          <c:x val="0"/>
          <c:y val="0.89779148148148258"/>
          <c:w val="0.9978778509571451"/>
          <c:h val="9.7398148148148164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Those who were told they had an STI by number of sexual partners</a:t>
            </a:r>
          </a:p>
        </c:rich>
      </c:tx>
      <c:layout>
        <c:manualLayout>
          <c:xMode val="edge"/>
          <c:yMode val="edge"/>
          <c:x val="1.9603174603174717E-3"/>
          <c:y val="0"/>
        </c:manualLayout>
      </c:layout>
      <c:overlay val="0"/>
    </c:title>
    <c:autoTitleDeleted val="0"/>
    <c:plotArea>
      <c:layout>
        <c:manualLayout>
          <c:layoutTarget val="inner"/>
          <c:xMode val="edge"/>
          <c:yMode val="edge"/>
          <c:x val="0.10022431019651966"/>
          <c:y val="0.16960185185185186"/>
          <c:w val="0.83726967952535369"/>
          <c:h val="0.59724583333333425"/>
        </c:manualLayout>
      </c:layout>
      <c:barChart>
        <c:barDir val="col"/>
        <c:grouping val="clustered"/>
        <c:varyColors val="0"/>
        <c:ser>
          <c:idx val="0"/>
          <c:order val="0"/>
          <c:tx>
            <c:strRef>
              <c:f>Sheet5!$J$23</c:f>
              <c:strCache>
                <c:ptCount val="1"/>
                <c:pt idx="0">
                  <c:v>Told by doctor had STI</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Sheet5!$K$22:$L$22</c:f>
              <c:strCache>
                <c:ptCount val="2"/>
                <c:pt idx="0">
                  <c:v>0-1 sexual partners</c:v>
                </c:pt>
                <c:pt idx="1">
                  <c:v>2 or more sexual partners</c:v>
                </c:pt>
              </c:strCache>
            </c:strRef>
          </c:cat>
          <c:val>
            <c:numRef>
              <c:f>Sheet5!$K$23:$L$23</c:f>
              <c:numCache>
                <c:formatCode>0</c:formatCode>
                <c:ptCount val="2"/>
                <c:pt idx="0">
                  <c:v>4.5367225403662284</c:v>
                </c:pt>
                <c:pt idx="1">
                  <c:v>8.4327900056683767</c:v>
                </c:pt>
              </c:numCache>
            </c:numRef>
          </c:val>
        </c:ser>
        <c:ser>
          <c:idx val="1"/>
          <c:order val="1"/>
          <c:tx>
            <c:strRef>
              <c:f>Sheet5!$J$24</c:f>
              <c:strCache>
                <c:ptCount val="1"/>
                <c:pt idx="0">
                  <c:v>Never told by doctor had STI</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Sheet5!$K$22:$L$22</c:f>
              <c:strCache>
                <c:ptCount val="2"/>
                <c:pt idx="0">
                  <c:v>0-1 sexual partners</c:v>
                </c:pt>
                <c:pt idx="1">
                  <c:v>2 or more sexual partners</c:v>
                </c:pt>
              </c:strCache>
            </c:strRef>
          </c:cat>
          <c:val>
            <c:numRef>
              <c:f>Sheet5!$K$24:$L$24</c:f>
              <c:numCache>
                <c:formatCode>0</c:formatCode>
                <c:ptCount val="2"/>
                <c:pt idx="0">
                  <c:v>95.463277459633673</c:v>
                </c:pt>
                <c:pt idx="1">
                  <c:v>91.567209994333737</c:v>
                </c:pt>
              </c:numCache>
            </c:numRef>
          </c:val>
        </c:ser>
        <c:dLbls>
          <c:showLegendKey val="0"/>
          <c:showVal val="1"/>
          <c:showCatName val="0"/>
          <c:showSerName val="0"/>
          <c:showPercent val="0"/>
          <c:showBubbleSize val="0"/>
        </c:dLbls>
        <c:gapWidth val="150"/>
        <c:axId val="178572288"/>
        <c:axId val="178327936"/>
      </c:barChart>
      <c:catAx>
        <c:axId val="178572288"/>
        <c:scaling>
          <c:orientation val="minMax"/>
        </c:scaling>
        <c:delete val="0"/>
        <c:axPos val="b"/>
        <c:majorTickMark val="out"/>
        <c:minorTickMark val="none"/>
        <c:tickLblPos val="nextTo"/>
        <c:txPr>
          <a:bodyPr/>
          <a:lstStyle/>
          <a:p>
            <a:pPr>
              <a:defRPr sz="900"/>
            </a:pPr>
            <a:endParaRPr lang="en-US"/>
          </a:p>
        </c:txPr>
        <c:crossAx val="178327936"/>
        <c:crosses val="autoZero"/>
        <c:auto val="1"/>
        <c:lblAlgn val="ctr"/>
        <c:lblOffset val="100"/>
        <c:noMultiLvlLbl val="0"/>
      </c:catAx>
      <c:valAx>
        <c:axId val="178327936"/>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572288"/>
        <c:crosses val="autoZero"/>
        <c:crossBetween val="between"/>
        <c:majorUnit val="20"/>
      </c:valAx>
    </c:plotArea>
    <c:legend>
      <c:legendPos val="b"/>
      <c:layout>
        <c:manualLayout>
          <c:xMode val="edge"/>
          <c:yMode val="edge"/>
          <c:x val="0.10387766472065316"/>
          <c:y val="0.85815763888890062"/>
          <c:w val="0.84278641357444306"/>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Incidence of High Blood Pressure by Age</a:t>
            </a:r>
          </a:p>
        </c:rich>
      </c:tx>
      <c:layout>
        <c:manualLayout>
          <c:xMode val="edge"/>
          <c:yMode val="edge"/>
          <c:x val="2.3158151742660228E-3"/>
          <c:y val="0"/>
        </c:manualLayout>
      </c:layout>
      <c:overlay val="0"/>
    </c:title>
    <c:autoTitleDeleted val="0"/>
    <c:plotArea>
      <c:layout>
        <c:manualLayout>
          <c:layoutTarget val="inner"/>
          <c:xMode val="edge"/>
          <c:yMode val="edge"/>
          <c:x val="0.10925832106224249"/>
          <c:y val="0.16927243589743643"/>
          <c:w val="0.86839456252574565"/>
          <c:h val="0.68605021367521468"/>
        </c:manualLayout>
      </c:layout>
      <c:barChart>
        <c:barDir val="col"/>
        <c:grouping val="clustered"/>
        <c:varyColors val="0"/>
        <c:ser>
          <c:idx val="0"/>
          <c:order val="0"/>
          <c:tx>
            <c:strRef>
              <c:f>DocTold!$A$13</c:f>
              <c:strCache>
                <c:ptCount val="1"/>
                <c:pt idx="0">
                  <c:v>High blood pressure</c:v>
                </c:pt>
              </c:strCache>
            </c:strRef>
          </c:tx>
          <c:spPr>
            <a:solidFill>
              <a:srgbClr val="4F81B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DocTold!$Q$3:$W$3</c:f>
              <c:strCache>
                <c:ptCount val="7"/>
                <c:pt idx="0">
                  <c:v>16-24</c:v>
                </c:pt>
                <c:pt idx="1">
                  <c:v>25-34</c:v>
                </c:pt>
                <c:pt idx="2">
                  <c:v>35-44</c:v>
                </c:pt>
                <c:pt idx="3">
                  <c:v>45-54</c:v>
                </c:pt>
                <c:pt idx="4">
                  <c:v>55-64</c:v>
                </c:pt>
                <c:pt idx="5">
                  <c:v>65-74</c:v>
                </c:pt>
                <c:pt idx="6">
                  <c:v>75+</c:v>
                </c:pt>
              </c:strCache>
            </c:strRef>
          </c:cat>
          <c:val>
            <c:numRef>
              <c:f>DocTold!$Q$13:$W$13</c:f>
              <c:numCache>
                <c:formatCode>0</c:formatCode>
                <c:ptCount val="7"/>
                <c:pt idx="0">
                  <c:v>6.1258203926365375</c:v>
                </c:pt>
                <c:pt idx="1">
                  <c:v>13.024964966316848</c:v>
                </c:pt>
                <c:pt idx="2">
                  <c:v>17.101791877726981</c:v>
                </c:pt>
                <c:pt idx="3">
                  <c:v>26.015102184431282</c:v>
                </c:pt>
                <c:pt idx="4">
                  <c:v>44.295342003469663</c:v>
                </c:pt>
                <c:pt idx="5">
                  <c:v>50.338655908994063</c:v>
                </c:pt>
                <c:pt idx="6">
                  <c:v>56.409704115802846</c:v>
                </c:pt>
              </c:numCache>
            </c:numRef>
          </c:val>
        </c:ser>
        <c:dLbls>
          <c:showLegendKey val="0"/>
          <c:showVal val="0"/>
          <c:showCatName val="0"/>
          <c:showSerName val="0"/>
          <c:showPercent val="0"/>
          <c:showBubbleSize val="0"/>
        </c:dLbls>
        <c:gapWidth val="150"/>
        <c:axId val="130534784"/>
        <c:axId val="130540672"/>
      </c:barChart>
      <c:catAx>
        <c:axId val="130534784"/>
        <c:scaling>
          <c:orientation val="minMax"/>
        </c:scaling>
        <c:delete val="0"/>
        <c:axPos val="b"/>
        <c:majorTickMark val="out"/>
        <c:minorTickMark val="none"/>
        <c:tickLblPos val="nextTo"/>
        <c:txPr>
          <a:bodyPr/>
          <a:lstStyle/>
          <a:p>
            <a:pPr>
              <a:defRPr sz="900"/>
            </a:pPr>
            <a:endParaRPr lang="en-US"/>
          </a:p>
        </c:txPr>
        <c:crossAx val="130540672"/>
        <c:crosses val="autoZero"/>
        <c:auto val="1"/>
        <c:lblAlgn val="ctr"/>
        <c:lblOffset val="100"/>
        <c:noMultiLvlLbl val="0"/>
      </c:catAx>
      <c:valAx>
        <c:axId val="130540672"/>
        <c:scaling>
          <c:orientation val="minMax"/>
          <c:max val="60"/>
        </c:scaling>
        <c:delete val="0"/>
        <c:axPos val="l"/>
        <c:title>
          <c:tx>
            <c:rich>
              <a:bodyPr rot="0" vert="horz"/>
              <a:lstStyle/>
              <a:p>
                <a:pPr>
                  <a:defRPr sz="900"/>
                </a:pPr>
                <a:r>
                  <a:rPr lang="en-GB" sz="900"/>
                  <a:t>%</a:t>
                </a:r>
              </a:p>
            </c:rich>
          </c:tx>
          <c:layout>
            <c:manualLayout>
              <c:xMode val="edge"/>
              <c:yMode val="edge"/>
              <c:x val="1.5779597003170761E-3"/>
              <c:y val="0.44217348771967924"/>
            </c:manualLayout>
          </c:layout>
          <c:overlay val="0"/>
        </c:title>
        <c:numFmt formatCode="0" sourceLinked="1"/>
        <c:majorTickMark val="out"/>
        <c:minorTickMark val="none"/>
        <c:tickLblPos val="nextTo"/>
        <c:txPr>
          <a:bodyPr/>
          <a:lstStyle/>
          <a:p>
            <a:pPr>
              <a:defRPr sz="900"/>
            </a:pPr>
            <a:endParaRPr lang="en-US"/>
          </a:p>
        </c:txPr>
        <c:crossAx val="130534784"/>
        <c:crosses val="autoZero"/>
        <c:crossBetween val="between"/>
        <c:majorUnit val="20"/>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Carers by Age-Group and Number of Hours</a:t>
            </a:r>
          </a:p>
        </c:rich>
      </c:tx>
      <c:layout>
        <c:manualLayout>
          <c:xMode val="edge"/>
          <c:yMode val="edge"/>
          <c:x val="1.1224694327520621E-3"/>
          <c:y val="0"/>
        </c:manualLayout>
      </c:layout>
      <c:overlay val="0"/>
    </c:title>
    <c:autoTitleDeleted val="0"/>
    <c:plotArea>
      <c:layout>
        <c:manualLayout>
          <c:layoutTarget val="inner"/>
          <c:xMode val="edge"/>
          <c:yMode val="edge"/>
          <c:x val="9.9050261889070221E-2"/>
          <c:y val="0.13188555555555539"/>
          <c:w val="0.89841363441904554"/>
          <c:h val="0.6361122222222223"/>
        </c:manualLayout>
      </c:layout>
      <c:barChart>
        <c:barDir val="col"/>
        <c:grouping val="stacked"/>
        <c:varyColors val="0"/>
        <c:ser>
          <c:idx val="0"/>
          <c:order val="0"/>
          <c:tx>
            <c:strRef>
              <c:f>Sheet1!$A$14</c:f>
              <c:strCache>
                <c:ptCount val="1"/>
                <c:pt idx="0">
                  <c:v>Under 20 hours per week</c:v>
                </c:pt>
              </c:strCache>
            </c:strRef>
          </c:tx>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Sheet1!$B$13:$H$13</c:f>
              <c:strCache>
                <c:ptCount val="7"/>
                <c:pt idx="0">
                  <c:v>16-24</c:v>
                </c:pt>
                <c:pt idx="1">
                  <c:v>25-34 </c:v>
                </c:pt>
                <c:pt idx="2">
                  <c:v>35-44</c:v>
                </c:pt>
                <c:pt idx="3">
                  <c:v>45-54 </c:v>
                </c:pt>
                <c:pt idx="4">
                  <c:v>55-64</c:v>
                </c:pt>
                <c:pt idx="5">
                  <c:v>65-74</c:v>
                </c:pt>
                <c:pt idx="6">
                  <c:v>75+ </c:v>
                </c:pt>
              </c:strCache>
            </c:strRef>
          </c:cat>
          <c:val>
            <c:numRef>
              <c:f>Sheet1!$B$14:$H$14</c:f>
              <c:numCache>
                <c:formatCode>0</c:formatCode>
                <c:ptCount val="7"/>
                <c:pt idx="0">
                  <c:v>5.4950470438549317</c:v>
                </c:pt>
                <c:pt idx="1">
                  <c:v>5.2901377776058949</c:v>
                </c:pt>
                <c:pt idx="2">
                  <c:v>10.273845078373059</c:v>
                </c:pt>
                <c:pt idx="3">
                  <c:v>15.280355137282095</c:v>
                </c:pt>
                <c:pt idx="4">
                  <c:v>10.990811856020578</c:v>
                </c:pt>
                <c:pt idx="5">
                  <c:v>9.5769376810098148</c:v>
                </c:pt>
                <c:pt idx="6">
                  <c:v>2.9332072716853692</c:v>
                </c:pt>
              </c:numCache>
            </c:numRef>
          </c:val>
        </c:ser>
        <c:ser>
          <c:idx val="1"/>
          <c:order val="1"/>
          <c:tx>
            <c:strRef>
              <c:f>Sheet1!$A$15</c:f>
              <c:strCache>
                <c:ptCount val="1"/>
                <c:pt idx="0">
                  <c:v>More than 20 hours per week</c:v>
                </c:pt>
              </c:strCache>
            </c:strRef>
          </c:tx>
          <c:spPr>
            <a:solidFill>
              <a:srgbClr val="4F81BD">
                <a:lumMod val="20000"/>
                <a:lumOff val="80000"/>
              </a:srgbClr>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Sheet1!$B$13:$H$13</c:f>
              <c:strCache>
                <c:ptCount val="7"/>
                <c:pt idx="0">
                  <c:v>16-24</c:v>
                </c:pt>
                <c:pt idx="1">
                  <c:v>25-34 </c:v>
                </c:pt>
                <c:pt idx="2">
                  <c:v>35-44</c:v>
                </c:pt>
                <c:pt idx="3">
                  <c:v>45-54 </c:v>
                </c:pt>
                <c:pt idx="4">
                  <c:v>55-64</c:v>
                </c:pt>
                <c:pt idx="5">
                  <c:v>65-74</c:v>
                </c:pt>
                <c:pt idx="6">
                  <c:v>75+ </c:v>
                </c:pt>
              </c:strCache>
            </c:strRef>
          </c:cat>
          <c:val>
            <c:numRef>
              <c:f>Sheet1!$B$15:$H$15</c:f>
              <c:numCache>
                <c:formatCode>0</c:formatCode>
                <c:ptCount val="7"/>
                <c:pt idx="0">
                  <c:v>1.699313497871848</c:v>
                </c:pt>
                <c:pt idx="1">
                  <c:v>5.5347880438856674</c:v>
                </c:pt>
                <c:pt idx="2">
                  <c:v>6.0671544128395345</c:v>
                </c:pt>
                <c:pt idx="3">
                  <c:v>8.0591487689211476</c:v>
                </c:pt>
                <c:pt idx="4">
                  <c:v>9.7549235869790589</c:v>
                </c:pt>
                <c:pt idx="5">
                  <c:v>7.6457808802192417</c:v>
                </c:pt>
                <c:pt idx="6">
                  <c:v>8.2818143456237685</c:v>
                </c:pt>
              </c:numCache>
            </c:numRef>
          </c:val>
        </c:ser>
        <c:dLbls>
          <c:showLegendKey val="0"/>
          <c:showVal val="1"/>
          <c:showCatName val="0"/>
          <c:showSerName val="0"/>
          <c:showPercent val="0"/>
          <c:showBubbleSize val="0"/>
        </c:dLbls>
        <c:gapWidth val="70"/>
        <c:overlap val="100"/>
        <c:axId val="130644608"/>
        <c:axId val="130658688"/>
      </c:barChart>
      <c:catAx>
        <c:axId val="130644608"/>
        <c:scaling>
          <c:orientation val="minMax"/>
        </c:scaling>
        <c:delete val="0"/>
        <c:axPos val="b"/>
        <c:majorTickMark val="out"/>
        <c:minorTickMark val="none"/>
        <c:tickLblPos val="nextTo"/>
        <c:txPr>
          <a:bodyPr/>
          <a:lstStyle/>
          <a:p>
            <a:pPr>
              <a:defRPr sz="900"/>
            </a:pPr>
            <a:endParaRPr lang="en-US"/>
          </a:p>
        </c:txPr>
        <c:crossAx val="130658688"/>
        <c:crosses val="autoZero"/>
        <c:auto val="1"/>
        <c:lblAlgn val="ctr"/>
        <c:lblOffset val="100"/>
        <c:noMultiLvlLbl val="0"/>
      </c:catAx>
      <c:valAx>
        <c:axId val="130658688"/>
        <c:scaling>
          <c:orientation val="minMax"/>
          <c:max val="25"/>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0644608"/>
        <c:crosses val="autoZero"/>
        <c:crossBetween val="between"/>
        <c:majorUnit val="5"/>
      </c:valAx>
    </c:plotArea>
    <c:legend>
      <c:legendPos val="b"/>
      <c:layout>
        <c:manualLayout>
          <c:xMode val="edge"/>
          <c:yMode val="edge"/>
          <c:x val="0"/>
          <c:y val="0.90166304347826087"/>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General Health of Carers and Non-Carers compared</a:t>
            </a:r>
          </a:p>
        </c:rich>
      </c:tx>
      <c:layout>
        <c:manualLayout>
          <c:xMode val="edge"/>
          <c:yMode val="edge"/>
          <c:x val="9.8373165909326245E-4"/>
          <c:y val="2.1598639455782307E-2"/>
        </c:manualLayout>
      </c:layout>
      <c:overlay val="0"/>
    </c:title>
    <c:autoTitleDeleted val="0"/>
    <c:plotArea>
      <c:layout>
        <c:manualLayout>
          <c:layoutTarget val="inner"/>
          <c:xMode val="edge"/>
          <c:yMode val="edge"/>
          <c:x val="0.1137345219234986"/>
          <c:y val="0.15149814814814858"/>
          <c:w val="0.88372939869002864"/>
          <c:h val="0.60057633184620729"/>
        </c:manualLayout>
      </c:layout>
      <c:barChart>
        <c:barDir val="col"/>
        <c:grouping val="stacked"/>
        <c:varyColors val="0"/>
        <c:ser>
          <c:idx val="0"/>
          <c:order val="0"/>
          <c:tx>
            <c:strRef>
              <c:f>Sheet2!$P$12</c:f>
              <c:strCache>
                <c:ptCount val="1"/>
                <c:pt idx="0">
                  <c:v>Very good / 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Sheet2!$Q$11:$S$11</c:f>
              <c:strCache>
                <c:ptCount val="3"/>
                <c:pt idx="0">
                  <c:v>Non-Carer</c:v>
                </c:pt>
                <c:pt idx="1">
                  <c:v>Carer - Under 20 hours per week</c:v>
                </c:pt>
                <c:pt idx="2">
                  <c:v>Carer - More than 20 hours per week</c:v>
                </c:pt>
              </c:strCache>
            </c:strRef>
          </c:cat>
          <c:val>
            <c:numRef>
              <c:f>Sheet2!$Q$12:$S$12</c:f>
              <c:numCache>
                <c:formatCode>0</c:formatCode>
                <c:ptCount val="3"/>
                <c:pt idx="0">
                  <c:v>73.088752837059602</c:v>
                </c:pt>
                <c:pt idx="1">
                  <c:v>71.780241074965076</c:v>
                </c:pt>
                <c:pt idx="2">
                  <c:v>62.915157622890881</c:v>
                </c:pt>
              </c:numCache>
            </c:numRef>
          </c:val>
        </c:ser>
        <c:ser>
          <c:idx val="1"/>
          <c:order val="1"/>
          <c:tx>
            <c:strRef>
              <c:f>Sheet2!$P$13</c:f>
              <c:strCache>
                <c:ptCount val="1"/>
                <c:pt idx="0">
                  <c:v>Fair</c:v>
                </c:pt>
              </c:strCache>
            </c:strRef>
          </c:tx>
          <c:spPr>
            <a:solidFill>
              <a:srgbClr val="4F81BD">
                <a:lumMod val="60000"/>
                <a:lumOff val="40000"/>
              </a:srgbClr>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Sheet2!$Q$11:$S$11</c:f>
              <c:strCache>
                <c:ptCount val="3"/>
                <c:pt idx="0">
                  <c:v>Non-Carer</c:v>
                </c:pt>
                <c:pt idx="1">
                  <c:v>Carer - Under 20 hours per week</c:v>
                </c:pt>
                <c:pt idx="2">
                  <c:v>Carer - More than 20 hours per week</c:v>
                </c:pt>
              </c:strCache>
            </c:strRef>
          </c:cat>
          <c:val>
            <c:numRef>
              <c:f>Sheet2!$Q$13:$S$13</c:f>
              <c:numCache>
                <c:formatCode>0</c:formatCode>
                <c:ptCount val="3"/>
                <c:pt idx="0">
                  <c:v>17.736090973484117</c:v>
                </c:pt>
                <c:pt idx="1">
                  <c:v>22.924230918510521</c:v>
                </c:pt>
                <c:pt idx="2">
                  <c:v>24.880764027304554</c:v>
                </c:pt>
              </c:numCache>
            </c:numRef>
          </c:val>
        </c:ser>
        <c:ser>
          <c:idx val="2"/>
          <c:order val="2"/>
          <c:tx>
            <c:strRef>
              <c:f>Sheet2!$P$14</c:f>
              <c:strCache>
                <c:ptCount val="1"/>
                <c:pt idx="0">
                  <c:v>Bad / Very bad</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Sheet2!$Q$11:$S$11</c:f>
              <c:strCache>
                <c:ptCount val="3"/>
                <c:pt idx="0">
                  <c:v>Non-Carer</c:v>
                </c:pt>
                <c:pt idx="1">
                  <c:v>Carer - Under 20 hours per week</c:v>
                </c:pt>
                <c:pt idx="2">
                  <c:v>Carer - More than 20 hours per week</c:v>
                </c:pt>
              </c:strCache>
            </c:strRef>
          </c:cat>
          <c:val>
            <c:numRef>
              <c:f>Sheet2!$Q$14:$S$14</c:f>
              <c:numCache>
                <c:formatCode>0</c:formatCode>
                <c:ptCount val="3"/>
                <c:pt idx="0">
                  <c:v>9.1751561894559348</c:v>
                </c:pt>
                <c:pt idx="1">
                  <c:v>5.2955280065244699</c:v>
                </c:pt>
                <c:pt idx="2">
                  <c:v>12.204078349804481</c:v>
                </c:pt>
              </c:numCache>
            </c:numRef>
          </c:val>
        </c:ser>
        <c:dLbls>
          <c:showLegendKey val="0"/>
          <c:showVal val="1"/>
          <c:showCatName val="0"/>
          <c:showSerName val="0"/>
          <c:showPercent val="0"/>
          <c:showBubbleSize val="0"/>
        </c:dLbls>
        <c:gapWidth val="70"/>
        <c:overlap val="100"/>
        <c:axId val="130678144"/>
        <c:axId val="130712704"/>
      </c:barChart>
      <c:catAx>
        <c:axId val="130678144"/>
        <c:scaling>
          <c:orientation val="minMax"/>
        </c:scaling>
        <c:delete val="0"/>
        <c:axPos val="b"/>
        <c:majorTickMark val="out"/>
        <c:minorTickMark val="none"/>
        <c:tickLblPos val="nextTo"/>
        <c:txPr>
          <a:bodyPr/>
          <a:lstStyle/>
          <a:p>
            <a:pPr>
              <a:defRPr sz="900"/>
            </a:pPr>
            <a:endParaRPr lang="en-US"/>
          </a:p>
        </c:txPr>
        <c:crossAx val="130712704"/>
        <c:crosses val="autoZero"/>
        <c:auto val="1"/>
        <c:lblAlgn val="ctr"/>
        <c:lblOffset val="100"/>
        <c:noMultiLvlLbl val="0"/>
      </c:catAx>
      <c:valAx>
        <c:axId val="130712704"/>
        <c:scaling>
          <c:orientation val="minMax"/>
          <c:max val="100"/>
        </c:scaling>
        <c:delete val="0"/>
        <c:axPos val="l"/>
        <c:title>
          <c:tx>
            <c:rich>
              <a:bodyPr rot="0" vert="horz"/>
              <a:lstStyle/>
              <a:p>
                <a:pPr>
                  <a:defRPr sz="900"/>
                </a:pPr>
                <a:r>
                  <a:rPr lang="en-GB"/>
                  <a:t>%</a:t>
                </a:r>
              </a:p>
            </c:rich>
          </c:tx>
          <c:overlay val="0"/>
        </c:title>
        <c:numFmt formatCode="0" sourceLinked="1"/>
        <c:majorTickMark val="out"/>
        <c:minorTickMark val="none"/>
        <c:tickLblPos val="nextTo"/>
        <c:txPr>
          <a:bodyPr/>
          <a:lstStyle/>
          <a:p>
            <a:pPr>
              <a:defRPr sz="900"/>
            </a:pPr>
            <a:endParaRPr lang="en-US"/>
          </a:p>
        </c:txPr>
        <c:crossAx val="130678144"/>
        <c:crosses val="autoZero"/>
        <c:crossBetween val="between"/>
        <c:majorUnit val="20"/>
      </c:valAx>
    </c:plotArea>
    <c:legend>
      <c:legendPos val="b"/>
      <c:layout>
        <c:manualLayout>
          <c:xMode val="edge"/>
          <c:yMode val="edge"/>
          <c:x val="0"/>
          <c:y val="0.8977914814814828"/>
          <c:w val="0.9978778509571451"/>
          <c:h val="9.7398148148148164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b="1" i="0" u="none" strike="noStrike" baseline="0"/>
              <a:t>Incidence of Cancer by Age</a:t>
            </a:r>
            <a:endParaRPr lang="en-GB" sz="1000"/>
          </a:p>
        </c:rich>
      </c:tx>
      <c:layout>
        <c:manualLayout>
          <c:xMode val="edge"/>
          <c:yMode val="edge"/>
          <c:x val="2.3158151742660228E-3"/>
          <c:y val="0"/>
        </c:manualLayout>
      </c:layout>
      <c:overlay val="0"/>
    </c:title>
    <c:autoTitleDeleted val="0"/>
    <c:plotArea>
      <c:layout>
        <c:manualLayout>
          <c:layoutTarget val="inner"/>
          <c:xMode val="edge"/>
          <c:yMode val="edge"/>
          <c:x val="0.10925832106224249"/>
          <c:y val="0.17329914529914553"/>
          <c:w val="0.86839456252574565"/>
          <c:h val="0.68489529914530012"/>
        </c:manualLayout>
      </c:layout>
      <c:barChart>
        <c:barDir val="col"/>
        <c:grouping val="clustered"/>
        <c:varyColors val="0"/>
        <c:ser>
          <c:idx val="0"/>
          <c:order val="0"/>
          <c:tx>
            <c:strRef>
              <c:f>DocTold!$A$12</c:f>
              <c:strCache>
                <c:ptCount val="1"/>
                <c:pt idx="0">
                  <c:v>Cancer</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DocTold!$Q$3:$W$3</c:f>
              <c:strCache>
                <c:ptCount val="7"/>
                <c:pt idx="0">
                  <c:v>16-24</c:v>
                </c:pt>
                <c:pt idx="1">
                  <c:v>25-34</c:v>
                </c:pt>
                <c:pt idx="2">
                  <c:v>35-44</c:v>
                </c:pt>
                <c:pt idx="3">
                  <c:v>45-54</c:v>
                </c:pt>
                <c:pt idx="4">
                  <c:v>55-64</c:v>
                </c:pt>
                <c:pt idx="5">
                  <c:v>65-74</c:v>
                </c:pt>
                <c:pt idx="6">
                  <c:v>75+</c:v>
                </c:pt>
              </c:strCache>
            </c:strRef>
          </c:cat>
          <c:val>
            <c:numRef>
              <c:f>DocTold!$Q$12:$W$12</c:f>
              <c:numCache>
                <c:formatCode>0</c:formatCode>
                <c:ptCount val="7"/>
                <c:pt idx="0">
                  <c:v>0.26687625291695038</c:v>
                </c:pt>
                <c:pt idx="1">
                  <c:v>0.2979696574506368</c:v>
                </c:pt>
                <c:pt idx="2">
                  <c:v>1.8897697957819819</c:v>
                </c:pt>
                <c:pt idx="3">
                  <c:v>3.4353236483378051</c:v>
                </c:pt>
                <c:pt idx="4">
                  <c:v>6.364964658924066</c:v>
                </c:pt>
                <c:pt idx="5">
                  <c:v>10.455620769205726</c:v>
                </c:pt>
                <c:pt idx="6">
                  <c:v>8.1039260399821345</c:v>
                </c:pt>
              </c:numCache>
            </c:numRef>
          </c:val>
        </c:ser>
        <c:dLbls>
          <c:showLegendKey val="0"/>
          <c:showVal val="0"/>
          <c:showCatName val="0"/>
          <c:showSerName val="0"/>
          <c:showPercent val="0"/>
          <c:showBubbleSize val="0"/>
        </c:dLbls>
        <c:gapWidth val="150"/>
        <c:axId val="130725760"/>
        <c:axId val="130727296"/>
      </c:barChart>
      <c:catAx>
        <c:axId val="130725760"/>
        <c:scaling>
          <c:orientation val="minMax"/>
        </c:scaling>
        <c:delete val="0"/>
        <c:axPos val="b"/>
        <c:majorTickMark val="out"/>
        <c:minorTickMark val="none"/>
        <c:tickLblPos val="nextTo"/>
        <c:txPr>
          <a:bodyPr/>
          <a:lstStyle/>
          <a:p>
            <a:pPr>
              <a:defRPr sz="900"/>
            </a:pPr>
            <a:endParaRPr lang="en-US"/>
          </a:p>
        </c:txPr>
        <c:crossAx val="130727296"/>
        <c:crosses val="autoZero"/>
        <c:auto val="1"/>
        <c:lblAlgn val="ctr"/>
        <c:lblOffset val="100"/>
        <c:noMultiLvlLbl val="0"/>
      </c:catAx>
      <c:valAx>
        <c:axId val="130727296"/>
        <c:scaling>
          <c:orientation val="minMax"/>
          <c:max val="12"/>
        </c:scaling>
        <c:delete val="0"/>
        <c:axPos val="l"/>
        <c:title>
          <c:tx>
            <c:rich>
              <a:bodyPr rot="0" vert="horz"/>
              <a:lstStyle/>
              <a:p>
                <a:pPr>
                  <a:defRPr sz="900"/>
                </a:pPr>
                <a:r>
                  <a:rPr lang="en-GB" sz="900"/>
                  <a:t>%</a:t>
                </a:r>
              </a:p>
            </c:rich>
          </c:tx>
          <c:layout>
            <c:manualLayout>
              <c:xMode val="edge"/>
              <c:yMode val="edge"/>
              <c:x val="1.5779597003170761E-3"/>
              <c:y val="0.44217348771967907"/>
            </c:manualLayout>
          </c:layout>
          <c:overlay val="0"/>
        </c:title>
        <c:numFmt formatCode="0" sourceLinked="1"/>
        <c:majorTickMark val="out"/>
        <c:minorTickMark val="none"/>
        <c:tickLblPos val="nextTo"/>
        <c:txPr>
          <a:bodyPr/>
          <a:lstStyle/>
          <a:p>
            <a:pPr>
              <a:defRPr sz="900"/>
            </a:pPr>
            <a:endParaRPr lang="en-US"/>
          </a:p>
        </c:txPr>
        <c:crossAx val="130725760"/>
        <c:crosses val="autoZero"/>
        <c:crossBetween val="between"/>
        <c:majorUnit val="2"/>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Female Cancers Reported</a:t>
            </a:r>
          </a:p>
        </c:rich>
      </c:tx>
      <c:layout>
        <c:manualLayout>
          <c:xMode val="edge"/>
          <c:yMode val="edge"/>
          <c:x val="3.1268791340950141E-3"/>
          <c:y val="0"/>
        </c:manualLayout>
      </c:layout>
      <c:overlay val="0"/>
    </c:title>
    <c:autoTitleDeleted val="0"/>
    <c:plotArea>
      <c:layout>
        <c:manualLayout>
          <c:layoutTarget val="inner"/>
          <c:xMode val="edge"/>
          <c:yMode val="edge"/>
          <c:x val="6.2244730421913121E-2"/>
          <c:y val="0.12799246031746081"/>
          <c:w val="0.46912483957126538"/>
          <c:h val="0.80502380952381059"/>
        </c:manualLayout>
      </c:layout>
      <c:pieChart>
        <c:varyColors val="1"/>
        <c:ser>
          <c:idx val="0"/>
          <c:order val="0"/>
          <c:spPr>
            <a:ln>
              <a:noFill/>
            </a:ln>
          </c:spPr>
          <c:dPt>
            <c:idx val="0"/>
            <c:bubble3D val="0"/>
            <c:spPr>
              <a:solidFill>
                <a:srgbClr val="009999"/>
              </a:solidFill>
              <a:ln>
                <a:noFill/>
              </a:ln>
            </c:spPr>
          </c:dPt>
          <c:dPt>
            <c:idx val="1"/>
            <c:bubble3D val="0"/>
            <c:spPr>
              <a:solidFill>
                <a:srgbClr val="006666"/>
              </a:solidFill>
              <a:ln>
                <a:noFill/>
              </a:ln>
            </c:spPr>
          </c:dPt>
          <c:dPt>
            <c:idx val="2"/>
            <c:bubble3D val="0"/>
            <c:spPr>
              <a:solidFill>
                <a:srgbClr val="66FFCC"/>
              </a:solidFill>
              <a:ln>
                <a:noFill/>
              </a:ln>
            </c:spPr>
          </c:dPt>
          <c:dPt>
            <c:idx val="3"/>
            <c:bubble3D val="0"/>
            <c:spPr>
              <a:solidFill>
                <a:srgbClr val="008080"/>
              </a:solidFill>
              <a:ln>
                <a:noFill/>
              </a:ln>
            </c:spPr>
          </c:dPt>
          <c:dPt>
            <c:idx val="4"/>
            <c:bubble3D val="0"/>
            <c:spPr>
              <a:solidFill>
                <a:srgbClr val="00DEA4"/>
              </a:solidFill>
              <a:ln>
                <a:noFill/>
              </a:ln>
            </c:spPr>
          </c:dPt>
          <c:dLbls>
            <c:txPr>
              <a:bodyPr/>
              <a:lstStyle/>
              <a:p>
                <a:pPr>
                  <a:defRPr sz="900"/>
                </a:pPr>
                <a:endParaRPr lang="en-US"/>
              </a:p>
            </c:txPr>
            <c:dLblPos val="outEnd"/>
            <c:showLegendKey val="0"/>
            <c:showVal val="1"/>
            <c:showCatName val="0"/>
            <c:showSerName val="0"/>
            <c:showPercent val="0"/>
            <c:showBubbleSize val="0"/>
            <c:showLeaderLines val="1"/>
          </c:dLbls>
          <c:cat>
            <c:strRef>
              <c:f>Cancer!$E$19:$E$23</c:f>
              <c:strCache>
                <c:ptCount val="5"/>
                <c:pt idx="0">
                  <c:v>Breast</c:v>
                </c:pt>
                <c:pt idx="1">
                  <c:v>Womb / Ovarian / Cervical</c:v>
                </c:pt>
                <c:pt idx="2">
                  <c:v>Skin (melanoma)</c:v>
                </c:pt>
                <c:pt idx="3">
                  <c:v>Colorectal</c:v>
                </c:pt>
                <c:pt idx="4">
                  <c:v>Other cancers</c:v>
                </c:pt>
              </c:strCache>
            </c:strRef>
          </c:cat>
          <c:val>
            <c:numRef>
              <c:f>Cancer!$F$19:$F$23</c:f>
              <c:numCache>
                <c:formatCode>0</c:formatCode>
                <c:ptCount val="5"/>
                <c:pt idx="0">
                  <c:v>49.549315234330166</c:v>
                </c:pt>
                <c:pt idx="1">
                  <c:v>13.030799241942702</c:v>
                </c:pt>
                <c:pt idx="2">
                  <c:v>11.35238061694335</c:v>
                </c:pt>
                <c:pt idx="3">
                  <c:v>8.4281125546136977</c:v>
                </c:pt>
                <c:pt idx="4">
                  <c:v>17.639392352170788</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1928289800779313"/>
          <c:y val="7.6857801073122026E-2"/>
          <c:w val="0.35666423855608359"/>
          <c:h val="0.87300933444654916"/>
        </c:manualLayout>
      </c:layout>
      <c:overlay val="0"/>
      <c:txPr>
        <a:bodyPr/>
        <a:lstStyle/>
        <a:p>
          <a:pPr>
            <a:defRPr sz="900"/>
          </a:pPr>
          <a:endParaRPr lang="en-US"/>
        </a:p>
      </c:txPr>
    </c:legend>
    <c:plotVisOnly val="1"/>
    <c:dispBlanksAs val="gap"/>
    <c:showDLblsOverMax val="0"/>
  </c:chart>
  <c:spPr>
    <a:ln w="0">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a:t>Male Cancers Reported</a:t>
            </a:r>
          </a:p>
        </c:rich>
      </c:tx>
      <c:layout>
        <c:manualLayout>
          <c:xMode val="edge"/>
          <c:yMode val="edge"/>
          <c:x val="3.1268791340950141E-3"/>
          <c:y val="0"/>
        </c:manualLayout>
      </c:layout>
      <c:overlay val="0"/>
    </c:title>
    <c:autoTitleDeleted val="0"/>
    <c:plotArea>
      <c:layout>
        <c:manualLayout>
          <c:layoutTarget val="inner"/>
          <c:xMode val="edge"/>
          <c:yMode val="edge"/>
          <c:x val="4.8416525026882734E-2"/>
          <c:y val="0.12909452160493817"/>
          <c:w val="0.47793541225848984"/>
          <c:h val="0.79736111111111108"/>
        </c:manualLayout>
      </c:layout>
      <c:pieChart>
        <c:varyColors val="1"/>
        <c:ser>
          <c:idx val="0"/>
          <c:order val="0"/>
          <c:spPr>
            <a:ln>
              <a:noFill/>
            </a:ln>
          </c:spPr>
          <c:dPt>
            <c:idx val="0"/>
            <c:bubble3D val="0"/>
            <c:spPr>
              <a:solidFill>
                <a:srgbClr val="009999"/>
              </a:solidFill>
              <a:ln>
                <a:noFill/>
              </a:ln>
            </c:spPr>
          </c:dPt>
          <c:dPt>
            <c:idx val="1"/>
            <c:bubble3D val="0"/>
            <c:spPr>
              <a:solidFill>
                <a:srgbClr val="005250"/>
              </a:solidFill>
              <a:ln>
                <a:noFill/>
              </a:ln>
            </c:spPr>
          </c:dPt>
          <c:dPt>
            <c:idx val="2"/>
            <c:bubble3D val="0"/>
            <c:spPr>
              <a:solidFill>
                <a:srgbClr val="66FFCC"/>
              </a:solidFill>
              <a:ln>
                <a:noFill/>
              </a:ln>
            </c:spPr>
          </c:dPt>
          <c:dPt>
            <c:idx val="3"/>
            <c:bubble3D val="0"/>
            <c:spPr>
              <a:solidFill>
                <a:srgbClr val="008080"/>
              </a:solidFill>
              <a:ln>
                <a:noFill/>
              </a:ln>
            </c:spPr>
          </c:dPt>
          <c:dPt>
            <c:idx val="4"/>
            <c:bubble3D val="0"/>
            <c:spPr>
              <a:solidFill>
                <a:srgbClr val="66FF99"/>
              </a:solidFill>
              <a:ln>
                <a:noFill/>
              </a:ln>
            </c:spPr>
          </c:dPt>
          <c:dPt>
            <c:idx val="5"/>
            <c:bubble3D val="0"/>
            <c:spPr>
              <a:solidFill>
                <a:srgbClr val="00DEA4"/>
              </a:solidFill>
              <a:ln>
                <a:noFill/>
              </a:ln>
            </c:spPr>
          </c:dPt>
          <c:dLbls>
            <c:txPr>
              <a:bodyPr/>
              <a:lstStyle/>
              <a:p>
                <a:pPr>
                  <a:defRPr sz="900"/>
                </a:pPr>
                <a:endParaRPr lang="en-US"/>
              </a:p>
            </c:txPr>
            <c:dLblPos val="outEnd"/>
            <c:showLegendKey val="0"/>
            <c:showVal val="1"/>
            <c:showCatName val="0"/>
            <c:showSerName val="0"/>
            <c:showPercent val="0"/>
            <c:showBubbleSize val="0"/>
            <c:showLeaderLines val="1"/>
          </c:dLbls>
          <c:cat>
            <c:strRef>
              <c:f>Cancer!$E$5:$E$10</c:f>
              <c:strCache>
                <c:ptCount val="6"/>
                <c:pt idx="0">
                  <c:v>Prostate</c:v>
                </c:pt>
                <c:pt idx="1">
                  <c:v>Testicular</c:v>
                </c:pt>
                <c:pt idx="2">
                  <c:v>Skin (melanoma)</c:v>
                </c:pt>
                <c:pt idx="3">
                  <c:v>Colorectal</c:v>
                </c:pt>
                <c:pt idx="4">
                  <c:v>Mouth / Neck / Throat</c:v>
                </c:pt>
                <c:pt idx="5">
                  <c:v>Other cancers</c:v>
                </c:pt>
              </c:strCache>
            </c:strRef>
          </c:cat>
          <c:val>
            <c:numRef>
              <c:f>Cancer!$F$5:$F$10</c:f>
              <c:numCache>
                <c:formatCode>0</c:formatCode>
                <c:ptCount val="6"/>
                <c:pt idx="0">
                  <c:v>23.655423393067576</c:v>
                </c:pt>
                <c:pt idx="1">
                  <c:v>12.269979847709656</c:v>
                </c:pt>
                <c:pt idx="2">
                  <c:v>12.855917476953724</c:v>
                </c:pt>
                <c:pt idx="3">
                  <c:v>13.27575732449414</c:v>
                </c:pt>
                <c:pt idx="4">
                  <c:v>11.863279725038707</c:v>
                </c:pt>
                <c:pt idx="5">
                  <c:v>26.079642232735882</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1047232532056839"/>
          <c:y val="7.6857801073122026E-2"/>
          <c:w val="0.36547481124330894"/>
          <c:h val="0.87300933444654938"/>
        </c:manualLayout>
      </c:layout>
      <c:overlay val="0"/>
      <c:txPr>
        <a:bodyPr/>
        <a:lstStyle/>
        <a:p>
          <a:pPr>
            <a:defRPr sz="900"/>
          </a:pPr>
          <a:endParaRPr lang="en-US"/>
        </a:p>
      </c:txPr>
    </c:legend>
    <c:plotVisOnly val="1"/>
    <c:dispBlanksAs val="gap"/>
    <c:showDLblsOverMax val="0"/>
  </c:chart>
  <c:spPr>
    <a:ln w="0">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Longstanding Illness by Age and Gender</a:t>
            </a:r>
          </a:p>
        </c:rich>
      </c:tx>
      <c:layout>
        <c:manualLayout>
          <c:xMode val="edge"/>
          <c:yMode val="edge"/>
          <c:x val="8.9797554620164467E-3"/>
          <c:y val="0"/>
        </c:manualLayout>
      </c:layout>
      <c:overlay val="0"/>
    </c:title>
    <c:autoTitleDeleted val="0"/>
    <c:plotArea>
      <c:layout>
        <c:manualLayout>
          <c:layoutTarget val="inner"/>
          <c:xMode val="edge"/>
          <c:yMode val="edge"/>
          <c:x val="9.8421296296296548E-2"/>
          <c:y val="0.1604940476190477"/>
          <c:w val="0.90157870370370352"/>
          <c:h val="0.58255489417989414"/>
        </c:manualLayout>
      </c:layout>
      <c:barChart>
        <c:barDir val="col"/>
        <c:grouping val="clustered"/>
        <c:varyColors val="0"/>
        <c:ser>
          <c:idx val="0"/>
          <c:order val="0"/>
          <c:tx>
            <c:strRef>
              <c:f>'Longstanding illness'!$A$24</c:f>
              <c:strCache>
                <c:ptCount val="1"/>
                <c:pt idx="0">
                  <c:v>Male</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illness'!$Q$23:$W$23</c:f>
              <c:strCache>
                <c:ptCount val="7"/>
                <c:pt idx="0">
                  <c:v>18-24</c:v>
                </c:pt>
                <c:pt idx="1">
                  <c:v>25-34</c:v>
                </c:pt>
                <c:pt idx="2">
                  <c:v>35-44</c:v>
                </c:pt>
                <c:pt idx="3">
                  <c:v>45-54</c:v>
                </c:pt>
                <c:pt idx="4">
                  <c:v>55-64</c:v>
                </c:pt>
                <c:pt idx="5">
                  <c:v>65-74</c:v>
                </c:pt>
                <c:pt idx="6">
                  <c:v>75+</c:v>
                </c:pt>
              </c:strCache>
            </c:strRef>
          </c:cat>
          <c:val>
            <c:numRef>
              <c:f>'Longstanding illness'!$Q$24:$W$24</c:f>
              <c:numCache>
                <c:formatCode>0</c:formatCode>
                <c:ptCount val="7"/>
                <c:pt idx="0">
                  <c:v>15.683513115957327</c:v>
                </c:pt>
                <c:pt idx="1">
                  <c:v>18.719212486676312</c:v>
                </c:pt>
                <c:pt idx="2">
                  <c:v>26.702192454820089</c:v>
                </c:pt>
                <c:pt idx="3">
                  <c:v>39.399765933162811</c:v>
                </c:pt>
                <c:pt idx="4">
                  <c:v>53.734417176350227</c:v>
                </c:pt>
                <c:pt idx="5">
                  <c:v>59.206879850729059</c:v>
                </c:pt>
                <c:pt idx="6">
                  <c:v>67.837722234520058</c:v>
                </c:pt>
              </c:numCache>
            </c:numRef>
          </c:val>
        </c:ser>
        <c:ser>
          <c:idx val="1"/>
          <c:order val="1"/>
          <c:tx>
            <c:strRef>
              <c:f>'Longstanding illness'!$A$25</c:f>
              <c:strCache>
                <c:ptCount val="1"/>
                <c:pt idx="0">
                  <c:v>Female</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illness'!$Q$23:$W$23</c:f>
              <c:strCache>
                <c:ptCount val="7"/>
                <c:pt idx="0">
                  <c:v>18-24</c:v>
                </c:pt>
                <c:pt idx="1">
                  <c:v>25-34</c:v>
                </c:pt>
                <c:pt idx="2">
                  <c:v>35-44</c:v>
                </c:pt>
                <c:pt idx="3">
                  <c:v>45-54</c:v>
                </c:pt>
                <c:pt idx="4">
                  <c:v>55-64</c:v>
                </c:pt>
                <c:pt idx="5">
                  <c:v>65-74</c:v>
                </c:pt>
                <c:pt idx="6">
                  <c:v>75+</c:v>
                </c:pt>
              </c:strCache>
            </c:strRef>
          </c:cat>
          <c:val>
            <c:numRef>
              <c:f>'Longstanding illness'!$Q$25:$W$25</c:f>
              <c:numCache>
                <c:formatCode>0</c:formatCode>
                <c:ptCount val="7"/>
                <c:pt idx="0">
                  <c:v>20.62318262524089</c:v>
                </c:pt>
                <c:pt idx="1">
                  <c:v>21.204331424666343</c:v>
                </c:pt>
                <c:pt idx="2">
                  <c:v>33.475040310757578</c:v>
                </c:pt>
                <c:pt idx="3">
                  <c:v>35.743547552254824</c:v>
                </c:pt>
                <c:pt idx="4">
                  <c:v>48.360186965899445</c:v>
                </c:pt>
                <c:pt idx="5">
                  <c:v>59.327120569114754</c:v>
                </c:pt>
                <c:pt idx="6">
                  <c:v>69.016962170954159</c:v>
                </c:pt>
              </c:numCache>
            </c:numRef>
          </c:val>
        </c:ser>
        <c:dLbls>
          <c:showLegendKey val="0"/>
          <c:showVal val="1"/>
          <c:showCatName val="0"/>
          <c:showSerName val="0"/>
          <c:showPercent val="0"/>
          <c:showBubbleSize val="0"/>
        </c:dLbls>
        <c:gapWidth val="150"/>
        <c:axId val="130837504"/>
        <c:axId val="130847488"/>
      </c:barChart>
      <c:catAx>
        <c:axId val="130837504"/>
        <c:scaling>
          <c:orientation val="minMax"/>
        </c:scaling>
        <c:delete val="0"/>
        <c:axPos val="b"/>
        <c:majorTickMark val="out"/>
        <c:minorTickMark val="none"/>
        <c:tickLblPos val="nextTo"/>
        <c:txPr>
          <a:bodyPr/>
          <a:lstStyle/>
          <a:p>
            <a:pPr>
              <a:defRPr sz="900"/>
            </a:pPr>
            <a:endParaRPr lang="en-US"/>
          </a:p>
        </c:txPr>
        <c:crossAx val="130847488"/>
        <c:crosses val="autoZero"/>
        <c:auto val="1"/>
        <c:lblAlgn val="ctr"/>
        <c:lblOffset val="100"/>
        <c:noMultiLvlLbl val="0"/>
      </c:catAx>
      <c:valAx>
        <c:axId val="130847488"/>
        <c:scaling>
          <c:orientation val="minMax"/>
        </c:scaling>
        <c:delete val="0"/>
        <c:axPos val="l"/>
        <c:title>
          <c:tx>
            <c:rich>
              <a:bodyPr rot="0" vert="horz"/>
              <a:lstStyle/>
              <a:p>
                <a:pPr>
                  <a:defRPr sz="900"/>
                </a:pPr>
                <a:r>
                  <a:rPr lang="en-GB" sz="900"/>
                  <a:t>%</a:t>
                </a:r>
              </a:p>
            </c:rich>
          </c:tx>
          <c:layout>
            <c:manualLayout>
              <c:xMode val="edge"/>
              <c:yMode val="edge"/>
              <c:x val="5.7314814814814988E-3"/>
              <c:y val="0.41351434518961083"/>
            </c:manualLayout>
          </c:layout>
          <c:overlay val="0"/>
        </c:title>
        <c:numFmt formatCode="0" sourceLinked="1"/>
        <c:majorTickMark val="out"/>
        <c:minorTickMark val="none"/>
        <c:tickLblPos val="nextTo"/>
        <c:txPr>
          <a:bodyPr/>
          <a:lstStyle/>
          <a:p>
            <a:pPr>
              <a:defRPr sz="900"/>
            </a:pPr>
            <a:endParaRPr lang="en-US"/>
          </a:p>
        </c:txPr>
        <c:crossAx val="130837504"/>
        <c:crosses val="autoZero"/>
        <c:crossBetween val="between"/>
        <c:majorUnit val="20"/>
      </c:valAx>
    </c:plotArea>
    <c:legend>
      <c:legendPos val="b"/>
      <c:layout>
        <c:manualLayout>
          <c:xMode val="edge"/>
          <c:yMode val="edge"/>
          <c:x val="0.37647743055555588"/>
          <c:y val="0.85815763888890007"/>
          <c:w val="0.30560451388889537"/>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Longstanding Illness by Trust and Gender</a:t>
            </a:r>
          </a:p>
        </c:rich>
      </c:tx>
      <c:layout>
        <c:manualLayout>
          <c:xMode val="edge"/>
          <c:yMode val="edge"/>
          <c:x val="3.808378432551625E-3"/>
          <c:y val="0"/>
        </c:manualLayout>
      </c:layout>
      <c:overlay val="0"/>
    </c:title>
    <c:autoTitleDeleted val="0"/>
    <c:plotArea>
      <c:layout>
        <c:manualLayout>
          <c:layoutTarget val="inner"/>
          <c:xMode val="edge"/>
          <c:yMode val="edge"/>
          <c:x val="0.10139651045821944"/>
          <c:y val="0.14081759259259302"/>
          <c:w val="0.89860348954178082"/>
          <c:h val="0.63178240740740765"/>
        </c:manualLayout>
      </c:layout>
      <c:barChart>
        <c:barDir val="col"/>
        <c:grouping val="clustered"/>
        <c:varyColors val="0"/>
        <c:ser>
          <c:idx val="0"/>
          <c:order val="0"/>
          <c:tx>
            <c:strRef>
              <c:f>'Longstanding illness'!$A$24</c:f>
              <c:strCache>
                <c:ptCount val="1"/>
                <c:pt idx="0">
                  <c:v>Male</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illness'!$G$23:$K$23</c:f>
              <c:strCache>
                <c:ptCount val="5"/>
                <c:pt idx="0">
                  <c:v>Belfast</c:v>
                </c:pt>
                <c:pt idx="1">
                  <c:v>Northern</c:v>
                </c:pt>
                <c:pt idx="2">
                  <c:v>South Eastern</c:v>
                </c:pt>
                <c:pt idx="3">
                  <c:v>Southern</c:v>
                </c:pt>
                <c:pt idx="4">
                  <c:v>Western</c:v>
                </c:pt>
              </c:strCache>
            </c:strRef>
          </c:cat>
          <c:val>
            <c:numRef>
              <c:f>'Longstanding illness'!$G$24:$K$24</c:f>
              <c:numCache>
                <c:formatCode>0</c:formatCode>
                <c:ptCount val="5"/>
                <c:pt idx="0">
                  <c:v>34.101646881484726</c:v>
                </c:pt>
                <c:pt idx="1">
                  <c:v>35.179009184955063</c:v>
                </c:pt>
                <c:pt idx="2">
                  <c:v>34.830526991456544</c:v>
                </c:pt>
                <c:pt idx="3">
                  <c:v>34.102035882459596</c:v>
                </c:pt>
                <c:pt idx="4">
                  <c:v>40.72603814441851</c:v>
                </c:pt>
              </c:numCache>
            </c:numRef>
          </c:val>
        </c:ser>
        <c:ser>
          <c:idx val="1"/>
          <c:order val="1"/>
          <c:tx>
            <c:strRef>
              <c:f>'Longstanding illness'!$A$25</c:f>
              <c:strCache>
                <c:ptCount val="1"/>
                <c:pt idx="0">
                  <c:v>Female</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illness'!$G$23:$K$23</c:f>
              <c:strCache>
                <c:ptCount val="5"/>
                <c:pt idx="0">
                  <c:v>Belfast</c:v>
                </c:pt>
                <c:pt idx="1">
                  <c:v>Northern</c:v>
                </c:pt>
                <c:pt idx="2">
                  <c:v>South Eastern</c:v>
                </c:pt>
                <c:pt idx="3">
                  <c:v>Southern</c:v>
                </c:pt>
                <c:pt idx="4">
                  <c:v>Western</c:v>
                </c:pt>
              </c:strCache>
            </c:strRef>
          </c:cat>
          <c:val>
            <c:numRef>
              <c:f>'Longstanding illness'!$G$25:$K$25</c:f>
              <c:numCache>
                <c:formatCode>0</c:formatCode>
                <c:ptCount val="5"/>
                <c:pt idx="0">
                  <c:v>46.878314143006321</c:v>
                </c:pt>
                <c:pt idx="1">
                  <c:v>34.892563065954008</c:v>
                </c:pt>
                <c:pt idx="2">
                  <c:v>35.569298503277544</c:v>
                </c:pt>
                <c:pt idx="3">
                  <c:v>33.421297309049294</c:v>
                </c:pt>
                <c:pt idx="4">
                  <c:v>41.996890513834998</c:v>
                </c:pt>
              </c:numCache>
            </c:numRef>
          </c:val>
        </c:ser>
        <c:dLbls>
          <c:showLegendKey val="0"/>
          <c:showVal val="1"/>
          <c:showCatName val="0"/>
          <c:showSerName val="0"/>
          <c:showPercent val="0"/>
          <c:showBubbleSize val="0"/>
        </c:dLbls>
        <c:gapWidth val="150"/>
        <c:axId val="130873984"/>
        <c:axId val="130953600"/>
      </c:barChart>
      <c:catAx>
        <c:axId val="130873984"/>
        <c:scaling>
          <c:orientation val="minMax"/>
        </c:scaling>
        <c:delete val="0"/>
        <c:axPos val="b"/>
        <c:majorTickMark val="out"/>
        <c:minorTickMark val="none"/>
        <c:tickLblPos val="nextTo"/>
        <c:txPr>
          <a:bodyPr/>
          <a:lstStyle/>
          <a:p>
            <a:pPr>
              <a:defRPr sz="900"/>
            </a:pPr>
            <a:endParaRPr lang="en-US"/>
          </a:p>
        </c:txPr>
        <c:crossAx val="130953600"/>
        <c:crosses val="autoZero"/>
        <c:auto val="1"/>
        <c:lblAlgn val="ctr"/>
        <c:lblOffset val="100"/>
        <c:noMultiLvlLbl val="0"/>
      </c:catAx>
      <c:valAx>
        <c:axId val="130953600"/>
        <c:scaling>
          <c:orientation val="minMax"/>
          <c:max val="50"/>
        </c:scaling>
        <c:delete val="0"/>
        <c:axPos val="l"/>
        <c:title>
          <c:tx>
            <c:rich>
              <a:bodyPr rot="0" vert="horz"/>
              <a:lstStyle/>
              <a:p>
                <a:pPr>
                  <a:defRPr sz="900"/>
                </a:pPr>
                <a:r>
                  <a:rPr lang="en-GB" sz="900"/>
                  <a:t>%</a:t>
                </a:r>
              </a:p>
            </c:rich>
          </c:tx>
          <c:layout>
            <c:manualLayout>
              <c:xMode val="edge"/>
              <c:yMode val="edge"/>
              <c:x val="6.4747303062888135E-3"/>
              <c:y val="0.4031893518518524"/>
            </c:manualLayout>
          </c:layout>
          <c:overlay val="0"/>
        </c:title>
        <c:numFmt formatCode="0" sourceLinked="1"/>
        <c:majorTickMark val="out"/>
        <c:minorTickMark val="none"/>
        <c:tickLblPos val="nextTo"/>
        <c:txPr>
          <a:bodyPr/>
          <a:lstStyle/>
          <a:p>
            <a:pPr>
              <a:defRPr sz="900"/>
            </a:pPr>
            <a:endParaRPr lang="en-US"/>
          </a:p>
        </c:txPr>
        <c:crossAx val="130873984"/>
        <c:crosses val="autoZero"/>
        <c:crossBetween val="between"/>
        <c:majorUnit val="10"/>
      </c:valAx>
    </c:plotArea>
    <c:legend>
      <c:legendPos val="b"/>
      <c:layout>
        <c:manualLayout>
          <c:xMode val="edge"/>
          <c:yMode val="edge"/>
          <c:x val="0.37647743055555588"/>
          <c:y val="0.89824595737920065"/>
          <c:w val="0.30560451388889537"/>
          <c:h val="9.8088761153803508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Longstanding Illness by Deprivation</a:t>
            </a:r>
            <a:r>
              <a:rPr lang="en-GB" sz="1000" baseline="0"/>
              <a:t> &amp; Gender</a:t>
            </a:r>
            <a:endParaRPr lang="en-GB" sz="1000"/>
          </a:p>
        </c:rich>
      </c:tx>
      <c:layout>
        <c:manualLayout>
          <c:xMode val="edge"/>
          <c:yMode val="edge"/>
          <c:x val="3.7982774702771688E-3"/>
          <c:y val="0"/>
        </c:manualLayout>
      </c:layout>
      <c:overlay val="0"/>
    </c:title>
    <c:autoTitleDeleted val="0"/>
    <c:plotArea>
      <c:layout>
        <c:manualLayout>
          <c:layoutTarget val="inner"/>
          <c:xMode val="edge"/>
          <c:yMode val="edge"/>
          <c:x val="8.9649080208586251E-2"/>
          <c:y val="0.15167420634920634"/>
          <c:w val="0.90795217778394355"/>
          <c:h val="0.64242023809523863"/>
        </c:manualLayout>
      </c:layout>
      <c:barChart>
        <c:barDir val="col"/>
        <c:grouping val="clustered"/>
        <c:varyColors val="0"/>
        <c:ser>
          <c:idx val="0"/>
          <c:order val="0"/>
          <c:tx>
            <c:strRef>
              <c:f>'Longstanding illness'!$A$24</c:f>
              <c:strCache>
                <c:ptCount val="1"/>
                <c:pt idx="0">
                  <c:v>Male</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illness'!$L$23:$P$23</c:f>
              <c:strCache>
                <c:ptCount val="5"/>
                <c:pt idx="0">
                  <c:v>Most Deprived</c:v>
                </c:pt>
                <c:pt idx="1">
                  <c:v>Q2</c:v>
                </c:pt>
                <c:pt idx="2">
                  <c:v>Q3</c:v>
                </c:pt>
                <c:pt idx="3">
                  <c:v>Q4 </c:v>
                </c:pt>
                <c:pt idx="4">
                  <c:v>Least Deprived</c:v>
                </c:pt>
              </c:strCache>
            </c:strRef>
          </c:cat>
          <c:val>
            <c:numRef>
              <c:f>'Longstanding illness'!$L$24:$P$24</c:f>
              <c:numCache>
                <c:formatCode>0</c:formatCode>
                <c:ptCount val="5"/>
                <c:pt idx="0">
                  <c:v>45.480123390422449</c:v>
                </c:pt>
                <c:pt idx="1">
                  <c:v>37.939051026075113</c:v>
                </c:pt>
                <c:pt idx="2">
                  <c:v>32.271785736960013</c:v>
                </c:pt>
                <c:pt idx="3">
                  <c:v>32.331554180166975</c:v>
                </c:pt>
                <c:pt idx="4">
                  <c:v>30.361832375210099</c:v>
                </c:pt>
              </c:numCache>
            </c:numRef>
          </c:val>
        </c:ser>
        <c:ser>
          <c:idx val="1"/>
          <c:order val="1"/>
          <c:tx>
            <c:strRef>
              <c:f>'Longstanding illness'!$A$25</c:f>
              <c:strCache>
                <c:ptCount val="1"/>
                <c:pt idx="0">
                  <c:v>Female</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'Longstanding illness'!$L$23:$P$23</c:f>
              <c:strCache>
                <c:ptCount val="5"/>
                <c:pt idx="0">
                  <c:v>Most Deprived</c:v>
                </c:pt>
                <c:pt idx="1">
                  <c:v>Q2</c:v>
                </c:pt>
                <c:pt idx="2">
                  <c:v>Q3</c:v>
                </c:pt>
                <c:pt idx="3">
                  <c:v>Q4 </c:v>
                </c:pt>
                <c:pt idx="4">
                  <c:v>Least Deprived</c:v>
                </c:pt>
              </c:strCache>
            </c:strRef>
          </c:cat>
          <c:val>
            <c:numRef>
              <c:f>'Longstanding illness'!$L$25:$P$25</c:f>
              <c:numCache>
                <c:formatCode>0</c:formatCode>
                <c:ptCount val="5"/>
                <c:pt idx="0">
                  <c:v>46.355453710649194</c:v>
                </c:pt>
                <c:pt idx="1">
                  <c:v>41.617748747944006</c:v>
                </c:pt>
                <c:pt idx="2">
                  <c:v>34.043517775379733</c:v>
                </c:pt>
                <c:pt idx="3">
                  <c:v>34.029107466852935</c:v>
                </c:pt>
                <c:pt idx="4">
                  <c:v>34.521897627977395</c:v>
                </c:pt>
              </c:numCache>
            </c:numRef>
          </c:val>
        </c:ser>
        <c:dLbls>
          <c:showLegendKey val="0"/>
          <c:showVal val="1"/>
          <c:showCatName val="0"/>
          <c:showSerName val="0"/>
          <c:showPercent val="0"/>
          <c:showBubbleSize val="0"/>
        </c:dLbls>
        <c:gapWidth val="150"/>
        <c:axId val="130971904"/>
        <c:axId val="130990080"/>
      </c:barChart>
      <c:catAx>
        <c:axId val="130971904"/>
        <c:scaling>
          <c:orientation val="minMax"/>
        </c:scaling>
        <c:delete val="0"/>
        <c:axPos val="b"/>
        <c:majorTickMark val="out"/>
        <c:minorTickMark val="none"/>
        <c:tickLblPos val="nextTo"/>
        <c:txPr>
          <a:bodyPr/>
          <a:lstStyle/>
          <a:p>
            <a:pPr>
              <a:defRPr sz="900"/>
            </a:pPr>
            <a:endParaRPr lang="en-US"/>
          </a:p>
        </c:txPr>
        <c:crossAx val="130990080"/>
        <c:crosses val="autoZero"/>
        <c:auto val="1"/>
        <c:lblAlgn val="ctr"/>
        <c:lblOffset val="100"/>
        <c:noMultiLvlLbl val="0"/>
      </c:catAx>
      <c:valAx>
        <c:axId val="130990080"/>
        <c:scaling>
          <c:orientation val="minMax"/>
          <c:max val="50"/>
        </c:scaling>
        <c:delete val="0"/>
        <c:axPos val="l"/>
        <c:title>
          <c:tx>
            <c:rich>
              <a:bodyPr rot="0" vert="horz"/>
              <a:lstStyle/>
              <a:p>
                <a:pPr>
                  <a:defRPr sz="900"/>
                </a:pPr>
                <a:r>
                  <a:rPr lang="en-GB" sz="900"/>
                  <a:t>%</a:t>
                </a:r>
              </a:p>
            </c:rich>
          </c:tx>
          <c:layout>
            <c:manualLayout>
              <c:xMode val="edge"/>
              <c:yMode val="edge"/>
              <c:x val="6.0101518147235894E-4"/>
              <c:y val="0.40550555555555562"/>
            </c:manualLayout>
          </c:layout>
          <c:overlay val="0"/>
        </c:title>
        <c:numFmt formatCode="0" sourceLinked="1"/>
        <c:majorTickMark val="out"/>
        <c:minorTickMark val="none"/>
        <c:tickLblPos val="nextTo"/>
        <c:txPr>
          <a:bodyPr/>
          <a:lstStyle/>
          <a:p>
            <a:pPr>
              <a:defRPr sz="900"/>
            </a:pPr>
            <a:endParaRPr lang="en-US"/>
          </a:p>
        </c:txPr>
        <c:crossAx val="130971904"/>
        <c:crosses val="autoZero"/>
        <c:crossBetween val="between"/>
        <c:majorUnit val="10"/>
      </c:valAx>
    </c:plotArea>
    <c:legend>
      <c:legendPos val="b"/>
      <c:layout>
        <c:manualLayout>
          <c:xMode val="edge"/>
          <c:yMode val="edge"/>
          <c:x val="0.37647743055555588"/>
          <c:y val="0.90492732305034329"/>
          <c:w val="0.30560451388889537"/>
          <c:h val="9.1407395482660747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Health in General by Age</a:t>
            </a:r>
          </a:p>
        </c:rich>
      </c:tx>
      <c:layout>
        <c:manualLayout>
          <c:xMode val="edge"/>
          <c:yMode val="edge"/>
          <c:x val="1.1224694327520621E-3"/>
          <c:y val="0"/>
        </c:manualLayout>
      </c:layout>
      <c:overlay val="0"/>
    </c:title>
    <c:autoTitleDeleted val="0"/>
    <c:plotArea>
      <c:layout>
        <c:manualLayout>
          <c:layoutTarget val="inner"/>
          <c:xMode val="edge"/>
          <c:yMode val="edge"/>
          <c:x val="8.9187045451917663E-2"/>
          <c:y val="0.11864629629629629"/>
          <c:w val="0.90827708210482561"/>
          <c:h val="0.69976481481481578"/>
        </c:manualLayout>
      </c:layout>
      <c:barChart>
        <c:barDir val="col"/>
        <c:grouping val="stacked"/>
        <c:varyColors val="0"/>
        <c:ser>
          <c:idx val="0"/>
          <c:order val="0"/>
          <c:tx>
            <c:strRef>
              <c:f>'General Health'!$A$34</c:f>
              <c:strCache>
                <c:ptCount val="1"/>
                <c:pt idx="0">
                  <c:v>Very 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Health'!$Q$33:$W$33</c:f>
              <c:strCache>
                <c:ptCount val="7"/>
                <c:pt idx="0">
                  <c:v>18-24</c:v>
                </c:pt>
                <c:pt idx="1">
                  <c:v>25-34</c:v>
                </c:pt>
                <c:pt idx="2">
                  <c:v>35-44</c:v>
                </c:pt>
                <c:pt idx="3">
                  <c:v>45-54</c:v>
                </c:pt>
                <c:pt idx="4">
                  <c:v>55-64</c:v>
                </c:pt>
                <c:pt idx="5">
                  <c:v>65-74</c:v>
                </c:pt>
                <c:pt idx="6">
                  <c:v>75+</c:v>
                </c:pt>
              </c:strCache>
            </c:strRef>
          </c:cat>
          <c:val>
            <c:numRef>
              <c:f>'General Health'!$Q$34:$W$34</c:f>
              <c:numCache>
                <c:formatCode>0</c:formatCode>
                <c:ptCount val="7"/>
                <c:pt idx="0">
                  <c:v>42.472570494583451</c:v>
                </c:pt>
                <c:pt idx="1">
                  <c:v>42.76036595663146</c:v>
                </c:pt>
                <c:pt idx="2">
                  <c:v>37.294617853191255</c:v>
                </c:pt>
                <c:pt idx="3">
                  <c:v>31.170067843230093</c:v>
                </c:pt>
                <c:pt idx="4">
                  <c:v>23.79191700985173</c:v>
                </c:pt>
                <c:pt idx="5">
                  <c:v>18.18824885464651</c:v>
                </c:pt>
                <c:pt idx="6">
                  <c:v>13.46684396071069</c:v>
                </c:pt>
              </c:numCache>
            </c:numRef>
          </c:val>
        </c:ser>
        <c:ser>
          <c:idx val="1"/>
          <c:order val="1"/>
          <c:tx>
            <c:strRef>
              <c:f>'General Health'!$A$35</c:f>
              <c:strCache>
                <c:ptCount val="1"/>
                <c:pt idx="0">
                  <c:v>Good</c:v>
                </c:pt>
              </c:strCache>
            </c:strRef>
          </c:tx>
          <c:spPr>
            <a:solidFill>
              <a:srgbClr val="4F81BD"/>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Health'!$Q$33:$W$33</c:f>
              <c:strCache>
                <c:ptCount val="7"/>
                <c:pt idx="0">
                  <c:v>18-24</c:v>
                </c:pt>
                <c:pt idx="1">
                  <c:v>25-34</c:v>
                </c:pt>
                <c:pt idx="2">
                  <c:v>35-44</c:v>
                </c:pt>
                <c:pt idx="3">
                  <c:v>45-54</c:v>
                </c:pt>
                <c:pt idx="4">
                  <c:v>55-64</c:v>
                </c:pt>
                <c:pt idx="5">
                  <c:v>65-74</c:v>
                </c:pt>
                <c:pt idx="6">
                  <c:v>75+</c:v>
                </c:pt>
              </c:strCache>
            </c:strRef>
          </c:cat>
          <c:val>
            <c:numRef>
              <c:f>'General Health'!$Q$35:$W$35</c:f>
              <c:numCache>
                <c:formatCode>0</c:formatCode>
                <c:ptCount val="7"/>
                <c:pt idx="0">
                  <c:v>45.513619176429032</c:v>
                </c:pt>
                <c:pt idx="1">
                  <c:v>44.269130647932563</c:v>
                </c:pt>
                <c:pt idx="2">
                  <c:v>40.215569003224708</c:v>
                </c:pt>
                <c:pt idx="3">
                  <c:v>38.677520905736955</c:v>
                </c:pt>
                <c:pt idx="4">
                  <c:v>36.590911796168463</c:v>
                </c:pt>
                <c:pt idx="5">
                  <c:v>38.030158920458213</c:v>
                </c:pt>
                <c:pt idx="6">
                  <c:v>32.825698885034093</c:v>
                </c:pt>
              </c:numCache>
            </c:numRef>
          </c:val>
        </c:ser>
        <c:ser>
          <c:idx val="2"/>
          <c:order val="2"/>
          <c:tx>
            <c:strRef>
              <c:f>'General Health'!$A$36</c:f>
              <c:strCache>
                <c:ptCount val="1"/>
                <c:pt idx="0">
                  <c:v>Fair</c:v>
                </c:pt>
              </c:strCache>
            </c:strRef>
          </c:tx>
          <c:spPr>
            <a:solidFill>
              <a:srgbClr val="4F81BD">
                <a:lumMod val="60000"/>
                <a:lumOff val="40000"/>
              </a:srgbClr>
            </a:solidFill>
          </c:spPr>
          <c:invertIfNegative val="0"/>
          <c:dLbls>
            <c:txPr>
              <a:bodyPr/>
              <a:lstStyle/>
              <a:p>
                <a:pPr>
                  <a:defRPr sz="900"/>
                </a:pPr>
                <a:endParaRPr lang="en-US"/>
              </a:p>
            </c:txPr>
            <c:showLegendKey val="0"/>
            <c:showVal val="1"/>
            <c:showCatName val="0"/>
            <c:showSerName val="0"/>
            <c:showPercent val="0"/>
            <c:showBubbleSize val="0"/>
            <c:showLeaderLines val="0"/>
          </c:dLbls>
          <c:cat>
            <c:strRef>
              <c:f>'General Health'!$Q$33:$W$33</c:f>
              <c:strCache>
                <c:ptCount val="7"/>
                <c:pt idx="0">
                  <c:v>18-24</c:v>
                </c:pt>
                <c:pt idx="1">
                  <c:v>25-34</c:v>
                </c:pt>
                <c:pt idx="2">
                  <c:v>35-44</c:v>
                </c:pt>
                <c:pt idx="3">
                  <c:v>45-54</c:v>
                </c:pt>
                <c:pt idx="4">
                  <c:v>55-64</c:v>
                </c:pt>
                <c:pt idx="5">
                  <c:v>65-74</c:v>
                </c:pt>
                <c:pt idx="6">
                  <c:v>75+</c:v>
                </c:pt>
              </c:strCache>
            </c:strRef>
          </c:cat>
          <c:val>
            <c:numRef>
              <c:f>'General Health'!$Q$36:$W$36</c:f>
              <c:numCache>
                <c:formatCode>0</c:formatCode>
                <c:ptCount val="7"/>
                <c:pt idx="0">
                  <c:v>9.2978656980478185</c:v>
                </c:pt>
                <c:pt idx="1">
                  <c:v>10.296657190271668</c:v>
                </c:pt>
                <c:pt idx="2">
                  <c:v>16.786097709825683</c:v>
                </c:pt>
                <c:pt idx="3">
                  <c:v>18.258787048439189</c:v>
                </c:pt>
                <c:pt idx="4">
                  <c:v>24.544789847000587</c:v>
                </c:pt>
                <c:pt idx="5">
                  <c:v>28.507017583052431</c:v>
                </c:pt>
                <c:pt idx="6">
                  <c:v>36.535415662358012</c:v>
                </c:pt>
              </c:numCache>
            </c:numRef>
          </c:val>
        </c:ser>
        <c:ser>
          <c:idx val="3"/>
          <c:order val="3"/>
          <c:tx>
            <c:strRef>
              <c:f>'General Health'!$A$37</c:f>
              <c:strCache>
                <c:ptCount val="1"/>
                <c:pt idx="0">
                  <c:v>Bad / Very Bad</c:v>
                </c:pt>
              </c:strCache>
            </c:strRef>
          </c:tx>
          <c:spPr>
            <a:solidFill>
              <a:srgbClr val="4F81BD">
                <a:lumMod val="20000"/>
                <a:lumOff val="80000"/>
              </a:srgbClr>
            </a:solidFill>
          </c:spPr>
          <c:invertIfNegative val="0"/>
          <c:dLbls>
            <c:txPr>
              <a:bodyPr/>
              <a:lstStyle/>
              <a:p>
                <a:pPr>
                  <a:defRPr sz="900"/>
                </a:pPr>
                <a:endParaRPr lang="en-US"/>
              </a:p>
            </c:txPr>
            <c:showLegendKey val="0"/>
            <c:showVal val="1"/>
            <c:showCatName val="0"/>
            <c:showSerName val="0"/>
            <c:showPercent val="0"/>
            <c:showBubbleSize val="0"/>
            <c:showLeaderLines val="0"/>
          </c:dLbls>
          <c:cat>
            <c:strRef>
              <c:f>'General Health'!$Q$33:$W$33</c:f>
              <c:strCache>
                <c:ptCount val="7"/>
                <c:pt idx="0">
                  <c:v>18-24</c:v>
                </c:pt>
                <c:pt idx="1">
                  <c:v>25-34</c:v>
                </c:pt>
                <c:pt idx="2">
                  <c:v>35-44</c:v>
                </c:pt>
                <c:pt idx="3">
                  <c:v>45-54</c:v>
                </c:pt>
                <c:pt idx="4">
                  <c:v>55-64</c:v>
                </c:pt>
                <c:pt idx="5">
                  <c:v>65-74</c:v>
                </c:pt>
                <c:pt idx="6">
                  <c:v>75+</c:v>
                </c:pt>
              </c:strCache>
            </c:strRef>
          </c:cat>
          <c:val>
            <c:numRef>
              <c:f>'General Health'!$Q$37:$W$37</c:f>
              <c:numCache>
                <c:formatCode>0</c:formatCode>
                <c:ptCount val="7"/>
                <c:pt idx="0">
                  <c:v>2.7159446309398367</c:v>
                </c:pt>
                <c:pt idx="1">
                  <c:v>2.6738462051648377</c:v>
                </c:pt>
                <c:pt idx="2">
                  <c:v>5.7037154337587905</c:v>
                </c:pt>
                <c:pt idx="3">
                  <c:v>11.89362420259385</c:v>
                </c:pt>
                <c:pt idx="4">
                  <c:v>15.072381346978853</c:v>
                </c:pt>
                <c:pt idx="5">
                  <c:v>15.274574641843962</c:v>
                </c:pt>
                <c:pt idx="6">
                  <c:v>17.172041491897495</c:v>
                </c:pt>
              </c:numCache>
            </c:numRef>
          </c:val>
        </c:ser>
        <c:dLbls>
          <c:showLegendKey val="0"/>
          <c:showVal val="1"/>
          <c:showCatName val="0"/>
          <c:showSerName val="0"/>
          <c:showPercent val="0"/>
          <c:showBubbleSize val="0"/>
        </c:dLbls>
        <c:gapWidth val="70"/>
        <c:overlap val="100"/>
        <c:axId val="31767552"/>
        <c:axId val="31773440"/>
      </c:barChart>
      <c:catAx>
        <c:axId val="31767552"/>
        <c:scaling>
          <c:orientation val="minMax"/>
        </c:scaling>
        <c:delete val="0"/>
        <c:axPos val="b"/>
        <c:majorTickMark val="out"/>
        <c:minorTickMark val="none"/>
        <c:tickLblPos val="nextTo"/>
        <c:txPr>
          <a:bodyPr/>
          <a:lstStyle/>
          <a:p>
            <a:pPr>
              <a:defRPr sz="900"/>
            </a:pPr>
            <a:endParaRPr lang="en-US"/>
          </a:p>
        </c:txPr>
        <c:crossAx val="31773440"/>
        <c:crosses val="autoZero"/>
        <c:auto val="1"/>
        <c:lblAlgn val="ctr"/>
        <c:lblOffset val="100"/>
        <c:noMultiLvlLbl val="0"/>
      </c:catAx>
      <c:valAx>
        <c:axId val="3177344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31767552"/>
        <c:crosses val="autoZero"/>
        <c:crossBetween val="between"/>
        <c:majorUnit val="20"/>
      </c:valAx>
    </c:plotArea>
    <c:legend>
      <c:legendPos val="b"/>
      <c:layout>
        <c:manualLayout>
          <c:xMode val="edge"/>
          <c:yMode val="edge"/>
          <c:x val="0"/>
          <c:y val="0.92467013888889904"/>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Limiting</a:t>
            </a:r>
            <a:r>
              <a:rPr lang="en-GB" baseline="0"/>
              <a:t> Longstanding Illness by Age</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0.10962348456442975"/>
          <c:y val="0.13297777777777778"/>
          <c:w val="0.8878405824271981"/>
          <c:h val="0.6728182539682549"/>
        </c:manualLayout>
      </c:layout>
      <c:barChart>
        <c:barDir val="col"/>
        <c:grouping val="stacked"/>
        <c:varyColors val="0"/>
        <c:ser>
          <c:idx val="0"/>
          <c:order val="0"/>
          <c:tx>
            <c:strRef>
              <c:f>'Limiting Longstanding illness'!$A$4</c:f>
              <c:strCache>
                <c:ptCount val="1"/>
                <c:pt idx="0">
                  <c:v>Limited activities a lot</c:v>
                </c:pt>
              </c:strCache>
            </c:strRef>
          </c:tx>
          <c:spPr>
            <a:solidFill>
              <a:srgbClr val="009999"/>
            </a:solidFill>
          </c:spPr>
          <c:invertIfNegative val="0"/>
          <c:dLbls>
            <c:txPr>
              <a:bodyPr/>
              <a:lstStyle/>
              <a:p>
                <a:pPr>
                  <a:defRPr sz="900">
                    <a:solidFill>
                      <a:schemeClr val="bg2"/>
                    </a:solidFill>
                  </a:defRPr>
                </a:pPr>
                <a:endParaRPr lang="en-US"/>
              </a:p>
            </c:txPr>
            <c:showLegendKey val="0"/>
            <c:showVal val="1"/>
            <c:showCatName val="0"/>
            <c:showSerName val="0"/>
            <c:showPercent val="0"/>
            <c:showBubbleSize val="0"/>
            <c:showLeaderLines val="0"/>
          </c:dLbls>
          <c:cat>
            <c:strRef>
              <c:f>'Limiting Longstanding illness'!$Q$3:$W$3</c:f>
              <c:strCache>
                <c:ptCount val="7"/>
                <c:pt idx="0">
                  <c:v>18-24</c:v>
                </c:pt>
                <c:pt idx="1">
                  <c:v>25-34</c:v>
                </c:pt>
                <c:pt idx="2">
                  <c:v>35-44</c:v>
                </c:pt>
                <c:pt idx="3">
                  <c:v>45-54</c:v>
                </c:pt>
                <c:pt idx="4">
                  <c:v>55-64</c:v>
                </c:pt>
                <c:pt idx="5">
                  <c:v>65-74</c:v>
                </c:pt>
                <c:pt idx="6">
                  <c:v>75+</c:v>
                </c:pt>
              </c:strCache>
            </c:strRef>
          </c:cat>
          <c:val>
            <c:numRef>
              <c:f>'Limiting Longstanding illness'!$Q$4:$W$4</c:f>
              <c:numCache>
                <c:formatCode>0</c:formatCode>
                <c:ptCount val="7"/>
                <c:pt idx="0">
                  <c:v>24.151071862972231</c:v>
                </c:pt>
                <c:pt idx="1">
                  <c:v>21.099329252880889</c:v>
                </c:pt>
                <c:pt idx="2">
                  <c:v>34.827755818964263</c:v>
                </c:pt>
                <c:pt idx="3">
                  <c:v>43.877465985993894</c:v>
                </c:pt>
                <c:pt idx="4">
                  <c:v>42.073469289275998</c:v>
                </c:pt>
                <c:pt idx="5">
                  <c:v>41.912577892142274</c:v>
                </c:pt>
                <c:pt idx="6">
                  <c:v>53.370744584335796</c:v>
                </c:pt>
              </c:numCache>
            </c:numRef>
          </c:val>
        </c:ser>
        <c:ser>
          <c:idx val="1"/>
          <c:order val="1"/>
          <c:tx>
            <c:strRef>
              <c:f>'Limiting Longstanding illness'!$A$5</c:f>
              <c:strCache>
                <c:ptCount val="1"/>
                <c:pt idx="0">
                  <c:v>Limited activities a little</c:v>
                </c:pt>
              </c:strCache>
            </c:strRef>
          </c:tx>
          <c:spPr>
            <a:solidFill>
              <a:srgbClr val="CCFFCC"/>
            </a:solidFill>
          </c:spPr>
          <c:invertIfNegative val="0"/>
          <c:dLbls>
            <c:txPr>
              <a:bodyPr/>
              <a:lstStyle/>
              <a:p>
                <a:pPr>
                  <a:defRPr sz="900">
                    <a:solidFill>
                      <a:schemeClr val="tx1"/>
                    </a:solidFill>
                  </a:defRPr>
                </a:pPr>
                <a:endParaRPr lang="en-US"/>
              </a:p>
            </c:txPr>
            <c:showLegendKey val="0"/>
            <c:showVal val="1"/>
            <c:showCatName val="0"/>
            <c:showSerName val="0"/>
            <c:showPercent val="0"/>
            <c:showBubbleSize val="0"/>
            <c:showLeaderLines val="0"/>
          </c:dLbls>
          <c:cat>
            <c:strRef>
              <c:f>'Limiting Longstanding illness'!$Q$3:$W$3</c:f>
              <c:strCache>
                <c:ptCount val="7"/>
                <c:pt idx="0">
                  <c:v>18-24</c:v>
                </c:pt>
                <c:pt idx="1">
                  <c:v>25-34</c:v>
                </c:pt>
                <c:pt idx="2">
                  <c:v>35-44</c:v>
                </c:pt>
                <c:pt idx="3">
                  <c:v>45-54</c:v>
                </c:pt>
                <c:pt idx="4">
                  <c:v>55-64</c:v>
                </c:pt>
                <c:pt idx="5">
                  <c:v>65-74</c:v>
                </c:pt>
                <c:pt idx="6">
                  <c:v>75+</c:v>
                </c:pt>
              </c:strCache>
            </c:strRef>
          </c:cat>
          <c:val>
            <c:numRef>
              <c:f>'Limiting Longstanding illness'!$Q$5:$W$5</c:f>
              <c:numCache>
                <c:formatCode>0</c:formatCode>
                <c:ptCount val="7"/>
                <c:pt idx="0">
                  <c:v>33.559523307019859</c:v>
                </c:pt>
                <c:pt idx="1">
                  <c:v>46.650061436689128</c:v>
                </c:pt>
                <c:pt idx="2">
                  <c:v>35.524789981554406</c:v>
                </c:pt>
                <c:pt idx="3">
                  <c:v>28.834038306037051</c:v>
                </c:pt>
                <c:pt idx="4">
                  <c:v>27.541011340115528</c:v>
                </c:pt>
                <c:pt idx="5">
                  <c:v>31.669444861991106</c:v>
                </c:pt>
                <c:pt idx="6">
                  <c:v>30.764331930140614</c:v>
                </c:pt>
              </c:numCache>
            </c:numRef>
          </c:val>
        </c:ser>
        <c:dLbls>
          <c:showLegendKey val="0"/>
          <c:showVal val="1"/>
          <c:showCatName val="0"/>
          <c:showSerName val="0"/>
          <c:showPercent val="0"/>
          <c:showBubbleSize val="0"/>
        </c:dLbls>
        <c:gapWidth val="70"/>
        <c:overlap val="100"/>
        <c:axId val="131299200"/>
        <c:axId val="131300736"/>
      </c:barChart>
      <c:catAx>
        <c:axId val="131299200"/>
        <c:scaling>
          <c:orientation val="minMax"/>
        </c:scaling>
        <c:delete val="0"/>
        <c:axPos val="b"/>
        <c:majorTickMark val="out"/>
        <c:minorTickMark val="none"/>
        <c:tickLblPos val="nextTo"/>
        <c:txPr>
          <a:bodyPr/>
          <a:lstStyle/>
          <a:p>
            <a:pPr>
              <a:defRPr sz="900"/>
            </a:pPr>
            <a:endParaRPr lang="en-US"/>
          </a:p>
        </c:txPr>
        <c:crossAx val="131300736"/>
        <c:crosses val="autoZero"/>
        <c:auto val="1"/>
        <c:lblAlgn val="ctr"/>
        <c:lblOffset val="100"/>
        <c:noMultiLvlLbl val="0"/>
      </c:catAx>
      <c:valAx>
        <c:axId val="131300736"/>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1299200"/>
        <c:crosses val="autoZero"/>
        <c:crossBetween val="between"/>
        <c:majorUnit val="20"/>
      </c:valAx>
    </c:plotArea>
    <c:legend>
      <c:legendPos val="b"/>
      <c:layout>
        <c:manualLayout>
          <c:xMode val="edge"/>
          <c:yMode val="edge"/>
          <c:x val="0"/>
          <c:y val="0.90166269841269842"/>
          <c:w val="0.9978778509571451"/>
          <c:h val="9.8337301587301598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Limiting Longstanding Illness by Trust</a:t>
            </a:r>
          </a:p>
        </c:rich>
      </c:tx>
      <c:layout>
        <c:manualLayout>
          <c:xMode val="edge"/>
          <c:yMode val="edge"/>
          <c:x val="1.1224694327520621E-3"/>
          <c:y val="0"/>
        </c:manualLayout>
      </c:layout>
      <c:overlay val="0"/>
    </c:title>
    <c:autoTitleDeleted val="0"/>
    <c:plotArea>
      <c:layout>
        <c:manualLayout>
          <c:layoutTarget val="inner"/>
          <c:xMode val="edge"/>
          <c:yMode val="edge"/>
          <c:x val="9.8247597904887546E-2"/>
          <c:y val="0.12625793650793679"/>
          <c:w val="0.89921629840322759"/>
          <c:h val="0.65643928571428567"/>
        </c:manualLayout>
      </c:layout>
      <c:barChart>
        <c:barDir val="col"/>
        <c:grouping val="stacked"/>
        <c:varyColors val="0"/>
        <c:ser>
          <c:idx val="0"/>
          <c:order val="0"/>
          <c:tx>
            <c:strRef>
              <c:f>'Limiting Longstanding illness'!$A$4</c:f>
              <c:strCache>
                <c:ptCount val="1"/>
                <c:pt idx="0">
                  <c:v>Limited activities a lot</c:v>
                </c:pt>
              </c:strCache>
            </c:strRef>
          </c:tx>
          <c:spPr>
            <a:solidFill>
              <a:srgbClr val="009999"/>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'Limiting Longstanding illness'!$G$3:$K$3</c:f>
              <c:strCache>
                <c:ptCount val="5"/>
                <c:pt idx="0">
                  <c:v>Belfast</c:v>
                </c:pt>
                <c:pt idx="1">
                  <c:v>Northern</c:v>
                </c:pt>
                <c:pt idx="2">
                  <c:v>South Eastern</c:v>
                </c:pt>
                <c:pt idx="3">
                  <c:v>Southern</c:v>
                </c:pt>
                <c:pt idx="4">
                  <c:v>Western</c:v>
                </c:pt>
              </c:strCache>
            </c:strRef>
          </c:cat>
          <c:val>
            <c:numRef>
              <c:f>'Limiting Longstanding illness'!$G$4:$K$4</c:f>
              <c:numCache>
                <c:formatCode>0</c:formatCode>
                <c:ptCount val="5"/>
                <c:pt idx="0">
                  <c:v>41.305034285953226</c:v>
                </c:pt>
                <c:pt idx="1">
                  <c:v>36.391714409921626</c:v>
                </c:pt>
                <c:pt idx="2">
                  <c:v>36.668954629098351</c:v>
                </c:pt>
                <c:pt idx="3">
                  <c:v>47.270953130330113</c:v>
                </c:pt>
                <c:pt idx="4">
                  <c:v>38.264208267680345</c:v>
                </c:pt>
              </c:numCache>
            </c:numRef>
          </c:val>
        </c:ser>
        <c:ser>
          <c:idx val="1"/>
          <c:order val="1"/>
          <c:tx>
            <c:strRef>
              <c:f>'Limiting Longstanding illness'!$A$5</c:f>
              <c:strCache>
                <c:ptCount val="1"/>
                <c:pt idx="0">
                  <c:v>Limited activities a little</c:v>
                </c:pt>
              </c:strCache>
            </c:strRef>
          </c:tx>
          <c:spPr>
            <a:solidFill>
              <a:srgbClr val="CCFFCC"/>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'Limiting Longstanding illness'!$G$3:$K$3</c:f>
              <c:strCache>
                <c:ptCount val="5"/>
                <c:pt idx="0">
                  <c:v>Belfast</c:v>
                </c:pt>
                <c:pt idx="1">
                  <c:v>Northern</c:v>
                </c:pt>
                <c:pt idx="2">
                  <c:v>South Eastern</c:v>
                </c:pt>
                <c:pt idx="3">
                  <c:v>Southern</c:v>
                </c:pt>
                <c:pt idx="4">
                  <c:v>Western</c:v>
                </c:pt>
              </c:strCache>
            </c:strRef>
          </c:cat>
          <c:val>
            <c:numRef>
              <c:f>'Limiting Longstanding illness'!$G$5:$K$5</c:f>
              <c:numCache>
                <c:formatCode>0</c:formatCode>
                <c:ptCount val="5"/>
                <c:pt idx="0">
                  <c:v>30.511063312843731</c:v>
                </c:pt>
                <c:pt idx="1">
                  <c:v>34.648110923122587</c:v>
                </c:pt>
                <c:pt idx="2">
                  <c:v>34.268464209072384</c:v>
                </c:pt>
                <c:pt idx="3">
                  <c:v>27.42045512010699</c:v>
                </c:pt>
                <c:pt idx="4">
                  <c:v>34.462700631167429</c:v>
                </c:pt>
              </c:numCache>
            </c:numRef>
          </c:val>
        </c:ser>
        <c:dLbls>
          <c:showLegendKey val="0"/>
          <c:showVal val="1"/>
          <c:showCatName val="0"/>
          <c:showSerName val="0"/>
          <c:showPercent val="0"/>
          <c:showBubbleSize val="0"/>
        </c:dLbls>
        <c:gapWidth val="70"/>
        <c:overlap val="100"/>
        <c:axId val="131320832"/>
        <c:axId val="110627840"/>
      </c:barChart>
      <c:catAx>
        <c:axId val="131320832"/>
        <c:scaling>
          <c:orientation val="minMax"/>
        </c:scaling>
        <c:delete val="0"/>
        <c:axPos val="b"/>
        <c:majorTickMark val="out"/>
        <c:minorTickMark val="none"/>
        <c:tickLblPos val="nextTo"/>
        <c:txPr>
          <a:bodyPr/>
          <a:lstStyle/>
          <a:p>
            <a:pPr>
              <a:defRPr sz="900"/>
            </a:pPr>
            <a:endParaRPr lang="en-US"/>
          </a:p>
        </c:txPr>
        <c:crossAx val="110627840"/>
        <c:crosses val="autoZero"/>
        <c:auto val="1"/>
        <c:lblAlgn val="ctr"/>
        <c:lblOffset val="100"/>
        <c:noMultiLvlLbl val="0"/>
      </c:catAx>
      <c:valAx>
        <c:axId val="110627840"/>
        <c:scaling>
          <c:orientation val="minMax"/>
          <c:max val="80"/>
        </c:scaling>
        <c:delete val="0"/>
        <c:axPos val="l"/>
        <c:title>
          <c:tx>
            <c:rich>
              <a:bodyPr rot="0" vert="horz"/>
              <a:lstStyle/>
              <a:p>
                <a:pPr>
                  <a:defRPr sz="900"/>
                </a:pPr>
                <a:r>
                  <a:rPr lang="en-GB" sz="900"/>
                  <a:t>%</a:t>
                </a:r>
              </a:p>
            </c:rich>
          </c:tx>
          <c:layout>
            <c:manualLayout>
              <c:xMode val="edge"/>
              <c:yMode val="edge"/>
              <c:x val="3.8896019054886655E-4"/>
              <c:y val="0.42237685185185292"/>
            </c:manualLayout>
          </c:layout>
          <c:overlay val="0"/>
        </c:title>
        <c:numFmt formatCode="0" sourceLinked="1"/>
        <c:majorTickMark val="out"/>
        <c:minorTickMark val="none"/>
        <c:tickLblPos val="nextTo"/>
        <c:txPr>
          <a:bodyPr/>
          <a:lstStyle/>
          <a:p>
            <a:pPr>
              <a:defRPr sz="900"/>
            </a:pPr>
            <a:endParaRPr lang="en-US"/>
          </a:p>
        </c:txPr>
        <c:crossAx val="131320832"/>
        <c:crosses val="autoZero"/>
        <c:crossBetween val="between"/>
        <c:majorUnit val="20"/>
      </c:valAx>
    </c:plotArea>
    <c:legend>
      <c:legendPos val="b"/>
      <c:layout>
        <c:manualLayout>
          <c:xMode val="edge"/>
          <c:yMode val="edge"/>
          <c:x val="0"/>
          <c:y val="0.90166304347826087"/>
          <c:w val="0.9978778509571451"/>
          <c:h val="9.8337037037037042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Limiting Longstanding Illness by Deprivation</a:t>
            </a:r>
          </a:p>
        </c:rich>
      </c:tx>
      <c:layout>
        <c:manualLayout>
          <c:xMode val="edge"/>
          <c:yMode val="edge"/>
          <c:x val="1.1224694327520621E-3"/>
          <c:y val="0"/>
        </c:manualLayout>
      </c:layout>
      <c:overlay val="0"/>
    </c:title>
    <c:autoTitleDeleted val="0"/>
    <c:plotArea>
      <c:layout>
        <c:manualLayout>
          <c:layoutTarget val="inner"/>
          <c:xMode val="edge"/>
          <c:yMode val="edge"/>
          <c:x val="9.6103229387075495E-2"/>
          <c:y val="0.14560555555555552"/>
          <c:w val="0.89587822447304299"/>
          <c:h val="0.62815674603174598"/>
        </c:manualLayout>
      </c:layout>
      <c:barChart>
        <c:barDir val="col"/>
        <c:grouping val="stacked"/>
        <c:varyColors val="0"/>
        <c:ser>
          <c:idx val="0"/>
          <c:order val="0"/>
          <c:tx>
            <c:strRef>
              <c:f>'Limiting Longstanding illness'!$A$4</c:f>
              <c:strCache>
                <c:ptCount val="1"/>
                <c:pt idx="0">
                  <c:v>Limited activities a lot</c:v>
                </c:pt>
              </c:strCache>
            </c:strRef>
          </c:tx>
          <c:spPr>
            <a:solidFill>
              <a:srgbClr val="009999"/>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'Limiting Longstanding illness'!$L$3:$P$3</c:f>
              <c:strCache>
                <c:ptCount val="5"/>
                <c:pt idx="0">
                  <c:v>Most Deprived</c:v>
                </c:pt>
                <c:pt idx="1">
                  <c:v>Q2</c:v>
                </c:pt>
                <c:pt idx="2">
                  <c:v>Q3</c:v>
                </c:pt>
                <c:pt idx="3">
                  <c:v>Q4 </c:v>
                </c:pt>
                <c:pt idx="4">
                  <c:v>Least Deprived</c:v>
                </c:pt>
              </c:strCache>
            </c:strRef>
          </c:cat>
          <c:val>
            <c:numRef>
              <c:f>'Limiting Longstanding illness'!$L$4:$P$4</c:f>
              <c:numCache>
                <c:formatCode>0</c:formatCode>
                <c:ptCount val="5"/>
                <c:pt idx="0">
                  <c:v>52.009544922449351</c:v>
                </c:pt>
                <c:pt idx="1">
                  <c:v>41.255562040847181</c:v>
                </c:pt>
                <c:pt idx="2">
                  <c:v>37.114023573395222</c:v>
                </c:pt>
                <c:pt idx="3">
                  <c:v>35.122228798386658</c:v>
                </c:pt>
                <c:pt idx="4">
                  <c:v>28.525372187073689</c:v>
                </c:pt>
              </c:numCache>
            </c:numRef>
          </c:val>
        </c:ser>
        <c:ser>
          <c:idx val="1"/>
          <c:order val="1"/>
          <c:tx>
            <c:strRef>
              <c:f>'Limiting Longstanding illness'!$A$5</c:f>
              <c:strCache>
                <c:ptCount val="1"/>
                <c:pt idx="0">
                  <c:v>Limited activities a little</c:v>
                </c:pt>
              </c:strCache>
            </c:strRef>
          </c:tx>
          <c:spPr>
            <a:solidFill>
              <a:srgbClr val="CCFFCC"/>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'Limiting Longstanding illness'!$L$3:$P$3</c:f>
              <c:strCache>
                <c:ptCount val="5"/>
                <c:pt idx="0">
                  <c:v>Most Deprived</c:v>
                </c:pt>
                <c:pt idx="1">
                  <c:v>Q2</c:v>
                </c:pt>
                <c:pt idx="2">
                  <c:v>Q3</c:v>
                </c:pt>
                <c:pt idx="3">
                  <c:v>Q4 </c:v>
                </c:pt>
                <c:pt idx="4">
                  <c:v>Least Deprived</c:v>
                </c:pt>
              </c:strCache>
            </c:strRef>
          </c:cat>
          <c:val>
            <c:numRef>
              <c:f>'Limiting Longstanding illness'!$L$5:$P$5</c:f>
              <c:numCache>
                <c:formatCode>0</c:formatCode>
                <c:ptCount val="5"/>
                <c:pt idx="0">
                  <c:v>29.071290306757259</c:v>
                </c:pt>
                <c:pt idx="1">
                  <c:v>34.248291602474282</c:v>
                </c:pt>
                <c:pt idx="2">
                  <c:v>31.404011914405967</c:v>
                </c:pt>
                <c:pt idx="3">
                  <c:v>35.462594801148782</c:v>
                </c:pt>
                <c:pt idx="4">
                  <c:v>32.428086945476011</c:v>
                </c:pt>
              </c:numCache>
            </c:numRef>
          </c:val>
        </c:ser>
        <c:dLbls>
          <c:showLegendKey val="0"/>
          <c:showVal val="1"/>
          <c:showCatName val="0"/>
          <c:showSerName val="0"/>
          <c:showPercent val="0"/>
          <c:showBubbleSize val="0"/>
        </c:dLbls>
        <c:gapWidth val="70"/>
        <c:overlap val="100"/>
        <c:axId val="110679168"/>
        <c:axId val="110680704"/>
      </c:barChart>
      <c:catAx>
        <c:axId val="110679168"/>
        <c:scaling>
          <c:orientation val="minMax"/>
        </c:scaling>
        <c:delete val="0"/>
        <c:axPos val="b"/>
        <c:majorTickMark val="out"/>
        <c:minorTickMark val="none"/>
        <c:tickLblPos val="nextTo"/>
        <c:txPr>
          <a:bodyPr/>
          <a:lstStyle/>
          <a:p>
            <a:pPr>
              <a:defRPr sz="900"/>
            </a:pPr>
            <a:endParaRPr lang="en-US"/>
          </a:p>
        </c:txPr>
        <c:crossAx val="110680704"/>
        <c:crosses val="autoZero"/>
        <c:auto val="1"/>
        <c:lblAlgn val="ctr"/>
        <c:lblOffset val="100"/>
        <c:noMultiLvlLbl val="0"/>
      </c:catAx>
      <c:valAx>
        <c:axId val="110680704"/>
        <c:scaling>
          <c:orientation val="minMax"/>
          <c:max val="100"/>
        </c:scaling>
        <c:delete val="0"/>
        <c:axPos val="l"/>
        <c:title>
          <c:tx>
            <c:rich>
              <a:bodyPr rot="0" vert="horz"/>
              <a:lstStyle/>
              <a:p>
                <a:pPr>
                  <a:defRPr sz="900"/>
                </a:pPr>
                <a:r>
                  <a:rPr lang="en-GB" sz="900"/>
                  <a:t>%</a:t>
                </a:r>
              </a:p>
            </c:rich>
          </c:tx>
          <c:layout>
            <c:manualLayout>
              <c:xMode val="edge"/>
              <c:yMode val="edge"/>
              <c:x val="2.0974250465387871E-3"/>
              <c:y val="0.36164722222222234"/>
            </c:manualLayout>
          </c:layout>
          <c:overlay val="0"/>
        </c:title>
        <c:numFmt formatCode="0" sourceLinked="1"/>
        <c:majorTickMark val="out"/>
        <c:minorTickMark val="none"/>
        <c:tickLblPos val="nextTo"/>
        <c:txPr>
          <a:bodyPr/>
          <a:lstStyle/>
          <a:p>
            <a:pPr>
              <a:defRPr sz="900"/>
            </a:pPr>
            <a:endParaRPr lang="en-US"/>
          </a:p>
        </c:txPr>
        <c:crossAx val="110679168"/>
        <c:crosses val="autoZero"/>
        <c:crossBetween val="between"/>
        <c:majorUnit val="20"/>
      </c:valAx>
    </c:plotArea>
    <c:legend>
      <c:legendPos val="b"/>
      <c:layout>
        <c:manualLayout>
          <c:xMode val="edge"/>
          <c:yMode val="edge"/>
          <c:x val="0"/>
          <c:y val="0.90166304347826087"/>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EQ-5D - Problems Experienced by Age</a:t>
            </a:r>
          </a:p>
        </c:rich>
      </c:tx>
      <c:layout>
        <c:manualLayout>
          <c:xMode val="edge"/>
          <c:yMode val="edge"/>
          <c:x val="2.1445605529014883E-3"/>
          <c:y val="0"/>
        </c:manualLayout>
      </c:layout>
      <c:overlay val="0"/>
    </c:title>
    <c:autoTitleDeleted val="0"/>
    <c:plotArea>
      <c:layout>
        <c:manualLayout>
          <c:layoutTarget val="inner"/>
          <c:xMode val="edge"/>
          <c:yMode val="edge"/>
          <c:x val="0.10029576699388366"/>
          <c:y val="0.13624960317460336"/>
          <c:w val="0.89077086729797561"/>
          <c:h val="0.57306944444444463"/>
        </c:manualLayout>
      </c:layout>
      <c:barChart>
        <c:barDir val="col"/>
        <c:grouping val="clustered"/>
        <c:varyColors val="0"/>
        <c:ser>
          <c:idx val="0"/>
          <c:order val="0"/>
          <c:tx>
            <c:strRef>
              <c:f>Sheet2!$S$78</c:f>
              <c:strCache>
                <c:ptCount val="1"/>
                <c:pt idx="0">
                  <c:v>16-24</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Sheet2!$R$79:$R$83</c:f>
              <c:strCache>
                <c:ptCount val="5"/>
                <c:pt idx="0">
                  <c:v>Mobility problems</c:v>
                </c:pt>
                <c:pt idx="1">
                  <c:v>Self-care problems</c:v>
                </c:pt>
                <c:pt idx="2">
                  <c:v>Problems performing usual activities</c:v>
                </c:pt>
                <c:pt idx="3">
                  <c:v>Pain or discomfort</c:v>
                </c:pt>
                <c:pt idx="4">
                  <c:v>Anxious or depressed</c:v>
                </c:pt>
              </c:strCache>
            </c:strRef>
          </c:cat>
          <c:val>
            <c:numRef>
              <c:f>Sheet2!$S$79:$S$83</c:f>
              <c:numCache>
                <c:formatCode>0</c:formatCode>
                <c:ptCount val="5"/>
                <c:pt idx="0">
                  <c:v>8.272022386254033</c:v>
                </c:pt>
                <c:pt idx="1">
                  <c:v>4.9413486008007421</c:v>
                </c:pt>
                <c:pt idx="2">
                  <c:v>6.5888074340588334</c:v>
                </c:pt>
                <c:pt idx="3">
                  <c:v>20.281600083529192</c:v>
                </c:pt>
                <c:pt idx="4">
                  <c:v>20.282875894813387</c:v>
                </c:pt>
              </c:numCache>
            </c:numRef>
          </c:val>
        </c:ser>
        <c:ser>
          <c:idx val="1"/>
          <c:order val="1"/>
          <c:tx>
            <c:strRef>
              <c:f>Sheet2!$T$78</c:f>
              <c:strCache>
                <c:ptCount val="1"/>
                <c:pt idx="0">
                  <c:v>75+</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Sheet2!$R$79:$R$83</c:f>
              <c:strCache>
                <c:ptCount val="5"/>
                <c:pt idx="0">
                  <c:v>Mobility problems</c:v>
                </c:pt>
                <c:pt idx="1">
                  <c:v>Self-care problems</c:v>
                </c:pt>
                <c:pt idx="2">
                  <c:v>Problems performing usual activities</c:v>
                </c:pt>
                <c:pt idx="3">
                  <c:v>Pain or discomfort</c:v>
                </c:pt>
                <c:pt idx="4">
                  <c:v>Anxious or depressed</c:v>
                </c:pt>
              </c:strCache>
            </c:strRef>
          </c:cat>
          <c:val>
            <c:numRef>
              <c:f>Sheet2!$T$79:$T$83</c:f>
              <c:numCache>
                <c:formatCode>0</c:formatCode>
                <c:ptCount val="5"/>
                <c:pt idx="0">
                  <c:v>61.135595291609462</c:v>
                </c:pt>
                <c:pt idx="1">
                  <c:v>27.43466169389179</c:v>
                </c:pt>
                <c:pt idx="2">
                  <c:v>58.782447132736003</c:v>
                </c:pt>
                <c:pt idx="3">
                  <c:v>62.358364465024124</c:v>
                </c:pt>
                <c:pt idx="4">
                  <c:v>25.045068521849288</c:v>
                </c:pt>
              </c:numCache>
            </c:numRef>
          </c:val>
        </c:ser>
        <c:dLbls>
          <c:showLegendKey val="0"/>
          <c:showVal val="1"/>
          <c:showCatName val="0"/>
          <c:showSerName val="0"/>
          <c:showPercent val="0"/>
          <c:showBubbleSize val="0"/>
        </c:dLbls>
        <c:gapWidth val="150"/>
        <c:axId val="131023232"/>
        <c:axId val="131024768"/>
      </c:barChart>
      <c:catAx>
        <c:axId val="131023232"/>
        <c:scaling>
          <c:orientation val="minMax"/>
        </c:scaling>
        <c:delete val="0"/>
        <c:axPos val="b"/>
        <c:majorTickMark val="out"/>
        <c:minorTickMark val="none"/>
        <c:tickLblPos val="nextTo"/>
        <c:txPr>
          <a:bodyPr/>
          <a:lstStyle/>
          <a:p>
            <a:pPr>
              <a:defRPr sz="900"/>
            </a:pPr>
            <a:endParaRPr lang="en-US"/>
          </a:p>
        </c:txPr>
        <c:crossAx val="131024768"/>
        <c:crosses val="autoZero"/>
        <c:auto val="1"/>
        <c:lblAlgn val="ctr"/>
        <c:lblOffset val="100"/>
        <c:noMultiLvlLbl val="0"/>
      </c:catAx>
      <c:valAx>
        <c:axId val="131024768"/>
        <c:scaling>
          <c:orientation val="minMax"/>
        </c:scaling>
        <c:delete val="0"/>
        <c:axPos val="l"/>
        <c:title>
          <c:tx>
            <c:rich>
              <a:bodyPr rot="0" vert="horz"/>
              <a:lstStyle/>
              <a:p>
                <a:pPr>
                  <a:defRPr sz="900"/>
                </a:pPr>
                <a:r>
                  <a:rPr lang="en-GB" sz="900"/>
                  <a:t>%</a:t>
                </a:r>
              </a:p>
            </c:rich>
          </c:tx>
          <c:layout>
            <c:manualLayout>
              <c:xMode val="edge"/>
              <c:yMode val="edge"/>
              <c:x val="2.4371292795449077E-3"/>
              <c:y val="0.39202936507936609"/>
            </c:manualLayout>
          </c:layout>
          <c:overlay val="0"/>
        </c:title>
        <c:numFmt formatCode="0" sourceLinked="1"/>
        <c:majorTickMark val="out"/>
        <c:minorTickMark val="none"/>
        <c:tickLblPos val="nextTo"/>
        <c:txPr>
          <a:bodyPr/>
          <a:lstStyle/>
          <a:p>
            <a:pPr>
              <a:defRPr sz="900"/>
            </a:pPr>
            <a:endParaRPr lang="en-US"/>
          </a:p>
        </c:txPr>
        <c:crossAx val="131023232"/>
        <c:crosses val="autoZero"/>
        <c:crossBetween val="between"/>
        <c:majorUnit val="20"/>
      </c:valAx>
    </c:plotArea>
    <c:legend>
      <c:legendPos val="b"/>
      <c:layout>
        <c:manualLayout>
          <c:xMode val="edge"/>
          <c:yMode val="edge"/>
          <c:x val="0.37647743055555588"/>
          <c:y val="0.91829005439262967"/>
          <c:w val="0.30560451388889415"/>
          <c:h val="7.8044664140373934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Anxiety or Depression Experienced by Age</a:t>
            </a:r>
          </a:p>
        </c:rich>
      </c:tx>
      <c:layout>
        <c:manualLayout>
          <c:xMode val="edge"/>
          <c:yMode val="edge"/>
          <c:x val="2.3158151742660228E-3"/>
          <c:y val="0"/>
        </c:manualLayout>
      </c:layout>
      <c:overlay val="0"/>
    </c:title>
    <c:autoTitleDeleted val="0"/>
    <c:plotArea>
      <c:layout>
        <c:manualLayout>
          <c:layoutTarget val="inner"/>
          <c:xMode val="edge"/>
          <c:yMode val="edge"/>
          <c:x val="0.10925832106224249"/>
          <c:y val="0.14151031746031764"/>
          <c:w val="0.86839456252574565"/>
          <c:h val="0.7031158730158743"/>
        </c:manualLayout>
      </c:layout>
      <c:barChart>
        <c:barDir val="col"/>
        <c:grouping val="clustered"/>
        <c:varyColors val="0"/>
        <c:ser>
          <c:idx val="0"/>
          <c:order val="0"/>
          <c:tx>
            <c:strRef>
              <c:f>Sheet2!$Y$56</c:f>
              <c:strCache>
                <c:ptCount val="1"/>
                <c:pt idx="0">
                  <c:v>Has anxiety or depression</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Sheet2!$Z$55:$AF$55</c:f>
              <c:strCache>
                <c:ptCount val="7"/>
                <c:pt idx="0">
                  <c:v>16-24</c:v>
                </c:pt>
                <c:pt idx="1">
                  <c:v>25-34</c:v>
                </c:pt>
                <c:pt idx="2">
                  <c:v>35-44</c:v>
                </c:pt>
                <c:pt idx="3">
                  <c:v>45-54</c:v>
                </c:pt>
                <c:pt idx="4">
                  <c:v>55-64</c:v>
                </c:pt>
                <c:pt idx="5">
                  <c:v>65-74</c:v>
                </c:pt>
                <c:pt idx="6">
                  <c:v>75+</c:v>
                </c:pt>
              </c:strCache>
            </c:strRef>
          </c:cat>
          <c:val>
            <c:numRef>
              <c:f>Sheet2!$Z$56:$AF$56</c:f>
              <c:numCache>
                <c:formatCode>0</c:formatCode>
                <c:ptCount val="7"/>
                <c:pt idx="0">
                  <c:v>20.282875894813444</c:v>
                </c:pt>
                <c:pt idx="1">
                  <c:v>23.839425541843166</c:v>
                </c:pt>
                <c:pt idx="2">
                  <c:v>24.584723971900196</c:v>
                </c:pt>
                <c:pt idx="3">
                  <c:v>34.117680708854195</c:v>
                </c:pt>
                <c:pt idx="4">
                  <c:v>32.240739992977623</c:v>
                </c:pt>
                <c:pt idx="5">
                  <c:v>24.705751656491366</c:v>
                </c:pt>
                <c:pt idx="6">
                  <c:v>25.045068521849373</c:v>
                </c:pt>
              </c:numCache>
            </c:numRef>
          </c:val>
        </c:ser>
        <c:dLbls>
          <c:showLegendKey val="0"/>
          <c:showVal val="0"/>
          <c:showCatName val="0"/>
          <c:showSerName val="0"/>
          <c:showPercent val="0"/>
          <c:showBubbleSize val="0"/>
        </c:dLbls>
        <c:gapWidth val="150"/>
        <c:axId val="131062400"/>
        <c:axId val="131076480"/>
      </c:barChart>
      <c:catAx>
        <c:axId val="131062400"/>
        <c:scaling>
          <c:orientation val="minMax"/>
        </c:scaling>
        <c:delete val="0"/>
        <c:axPos val="b"/>
        <c:majorTickMark val="out"/>
        <c:minorTickMark val="none"/>
        <c:tickLblPos val="nextTo"/>
        <c:txPr>
          <a:bodyPr/>
          <a:lstStyle/>
          <a:p>
            <a:pPr>
              <a:defRPr sz="900"/>
            </a:pPr>
            <a:endParaRPr lang="en-US"/>
          </a:p>
        </c:txPr>
        <c:crossAx val="131076480"/>
        <c:crosses val="autoZero"/>
        <c:auto val="1"/>
        <c:lblAlgn val="ctr"/>
        <c:lblOffset val="100"/>
        <c:noMultiLvlLbl val="0"/>
      </c:catAx>
      <c:valAx>
        <c:axId val="131076480"/>
        <c:scaling>
          <c:orientation val="minMax"/>
          <c:max val="40"/>
        </c:scaling>
        <c:delete val="0"/>
        <c:axPos val="l"/>
        <c:title>
          <c:tx>
            <c:rich>
              <a:bodyPr rot="0" vert="horz"/>
              <a:lstStyle/>
              <a:p>
                <a:pPr>
                  <a:defRPr sz="900"/>
                </a:pPr>
                <a:r>
                  <a:rPr lang="en-GB" sz="900"/>
                  <a:t>%</a:t>
                </a:r>
              </a:p>
            </c:rich>
          </c:tx>
          <c:layout>
            <c:manualLayout>
              <c:xMode val="edge"/>
              <c:yMode val="edge"/>
              <c:x val="1.5779597003170761E-3"/>
              <c:y val="0.44217348771967996"/>
            </c:manualLayout>
          </c:layout>
          <c:overlay val="0"/>
        </c:title>
        <c:numFmt formatCode="0" sourceLinked="1"/>
        <c:majorTickMark val="out"/>
        <c:minorTickMark val="none"/>
        <c:tickLblPos val="nextTo"/>
        <c:txPr>
          <a:bodyPr/>
          <a:lstStyle/>
          <a:p>
            <a:pPr>
              <a:defRPr sz="900"/>
            </a:pPr>
            <a:endParaRPr lang="en-US"/>
          </a:p>
        </c:txPr>
        <c:crossAx val="131062400"/>
        <c:crosses val="autoZero"/>
        <c:crossBetween val="between"/>
        <c:majorUnit val="10"/>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EQ-5D</a:t>
            </a:r>
            <a:r>
              <a:rPr lang="en-GB" sz="1000" baseline="0"/>
              <a:t> - Problems Experienced by Deprivation</a:t>
            </a:r>
            <a:endParaRPr lang="en-GB" sz="1000"/>
          </a:p>
        </c:rich>
      </c:tx>
      <c:layout>
        <c:manualLayout>
          <c:xMode val="edge"/>
          <c:yMode val="edge"/>
          <c:x val="7.0555221487272083E-3"/>
          <c:y val="0"/>
        </c:manualLayout>
      </c:layout>
      <c:overlay val="0"/>
    </c:title>
    <c:autoTitleDeleted val="0"/>
    <c:plotArea>
      <c:layout>
        <c:manualLayout>
          <c:layoutTarget val="inner"/>
          <c:xMode val="edge"/>
          <c:yMode val="edge"/>
          <c:x val="0.1013965104582194"/>
          <c:y val="0.11490238095238096"/>
          <c:w val="0.89860348954178082"/>
          <c:h val="0.52866620370370354"/>
        </c:manualLayout>
      </c:layout>
      <c:barChart>
        <c:barDir val="col"/>
        <c:grouping val="clustered"/>
        <c:varyColors val="0"/>
        <c:ser>
          <c:idx val="0"/>
          <c:order val="0"/>
          <c:tx>
            <c:strRef>
              <c:f>Sheet2!$S$64</c:f>
              <c:strCache>
                <c:ptCount val="1"/>
                <c:pt idx="0">
                  <c:v>Most Deprived</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Sheet2!$R$65:$R$69</c:f>
              <c:strCache>
                <c:ptCount val="5"/>
                <c:pt idx="0">
                  <c:v>Mobility problems</c:v>
                </c:pt>
                <c:pt idx="1">
                  <c:v>Self-care problems</c:v>
                </c:pt>
                <c:pt idx="2">
                  <c:v>Problems performing usual activities</c:v>
                </c:pt>
                <c:pt idx="3">
                  <c:v>Pain or discomfort</c:v>
                </c:pt>
                <c:pt idx="4">
                  <c:v>Anxious or depressed</c:v>
                </c:pt>
              </c:strCache>
            </c:strRef>
          </c:cat>
          <c:val>
            <c:numRef>
              <c:f>Sheet2!$S$65:$S$69</c:f>
              <c:numCache>
                <c:formatCode>0</c:formatCode>
                <c:ptCount val="5"/>
                <c:pt idx="0">
                  <c:v>29.025800441429723</c:v>
                </c:pt>
                <c:pt idx="1">
                  <c:v>16.60750960990292</c:v>
                </c:pt>
                <c:pt idx="2">
                  <c:v>31.656360070965629</c:v>
                </c:pt>
                <c:pt idx="3">
                  <c:v>43.279914380503257</c:v>
                </c:pt>
                <c:pt idx="4">
                  <c:v>36.790489458823096</c:v>
                </c:pt>
              </c:numCache>
            </c:numRef>
          </c:val>
        </c:ser>
        <c:ser>
          <c:idx val="1"/>
          <c:order val="1"/>
          <c:tx>
            <c:strRef>
              <c:f>Sheet2!$T$64</c:f>
              <c:strCache>
                <c:ptCount val="1"/>
                <c:pt idx="0">
                  <c:v>Least Deprived</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Sheet2!$R$65:$R$69</c:f>
              <c:strCache>
                <c:ptCount val="5"/>
                <c:pt idx="0">
                  <c:v>Mobility problems</c:v>
                </c:pt>
                <c:pt idx="1">
                  <c:v>Self-care problems</c:v>
                </c:pt>
                <c:pt idx="2">
                  <c:v>Problems performing usual activities</c:v>
                </c:pt>
                <c:pt idx="3">
                  <c:v>Pain or discomfort</c:v>
                </c:pt>
                <c:pt idx="4">
                  <c:v>Anxious or depressed</c:v>
                </c:pt>
              </c:strCache>
            </c:strRef>
          </c:cat>
          <c:val>
            <c:numRef>
              <c:f>Sheet2!$T$65:$T$69</c:f>
              <c:numCache>
                <c:formatCode>0</c:formatCode>
                <c:ptCount val="5"/>
                <c:pt idx="0">
                  <c:v>16.025689317008752</c:v>
                </c:pt>
                <c:pt idx="1">
                  <c:v>6.7310965094052051</c:v>
                </c:pt>
                <c:pt idx="2">
                  <c:v>15.346652349038507</c:v>
                </c:pt>
                <c:pt idx="3">
                  <c:v>29.480075435796987</c:v>
                </c:pt>
                <c:pt idx="4">
                  <c:v>22.536688938058631</c:v>
                </c:pt>
              </c:numCache>
            </c:numRef>
          </c:val>
        </c:ser>
        <c:dLbls>
          <c:showLegendKey val="0"/>
          <c:showVal val="1"/>
          <c:showCatName val="0"/>
          <c:showSerName val="0"/>
          <c:showPercent val="0"/>
          <c:showBubbleSize val="0"/>
        </c:dLbls>
        <c:gapWidth val="150"/>
        <c:axId val="131123072"/>
        <c:axId val="131124608"/>
      </c:barChart>
      <c:catAx>
        <c:axId val="131123072"/>
        <c:scaling>
          <c:orientation val="minMax"/>
        </c:scaling>
        <c:delete val="0"/>
        <c:axPos val="b"/>
        <c:majorTickMark val="out"/>
        <c:minorTickMark val="none"/>
        <c:tickLblPos val="nextTo"/>
        <c:txPr>
          <a:bodyPr/>
          <a:lstStyle/>
          <a:p>
            <a:pPr>
              <a:defRPr sz="900"/>
            </a:pPr>
            <a:endParaRPr lang="en-US"/>
          </a:p>
        </c:txPr>
        <c:crossAx val="131124608"/>
        <c:crosses val="autoZero"/>
        <c:auto val="1"/>
        <c:lblAlgn val="ctr"/>
        <c:lblOffset val="100"/>
        <c:noMultiLvlLbl val="0"/>
      </c:catAx>
      <c:valAx>
        <c:axId val="131124608"/>
        <c:scaling>
          <c:orientation val="minMax"/>
          <c:max val="50"/>
        </c:scaling>
        <c:delete val="0"/>
        <c:axPos val="l"/>
        <c:title>
          <c:tx>
            <c:rich>
              <a:bodyPr rot="0" vert="horz"/>
              <a:lstStyle/>
              <a:p>
                <a:pPr>
                  <a:defRPr sz="900"/>
                </a:pPr>
                <a:r>
                  <a:rPr lang="en-GB" sz="900"/>
                  <a:t>%</a:t>
                </a:r>
              </a:p>
            </c:rich>
          </c:tx>
          <c:layout>
            <c:manualLayout>
              <c:xMode val="edge"/>
              <c:yMode val="edge"/>
              <c:x val="6.4747303062888126E-3"/>
              <c:y val="0.33294166666666714"/>
            </c:manualLayout>
          </c:layout>
          <c:overlay val="0"/>
        </c:title>
        <c:numFmt formatCode="0" sourceLinked="1"/>
        <c:majorTickMark val="out"/>
        <c:minorTickMark val="none"/>
        <c:tickLblPos val="nextTo"/>
        <c:txPr>
          <a:bodyPr/>
          <a:lstStyle/>
          <a:p>
            <a:pPr>
              <a:defRPr sz="900"/>
            </a:pPr>
            <a:endParaRPr lang="en-US"/>
          </a:p>
        </c:txPr>
        <c:crossAx val="131123072"/>
        <c:crosses val="autoZero"/>
        <c:crossBetween val="between"/>
        <c:majorUnit val="10"/>
      </c:valAx>
    </c:plotArea>
    <c:legend>
      <c:legendPos val="b"/>
      <c:layout>
        <c:manualLayout>
          <c:xMode val="edge"/>
          <c:yMode val="edge"/>
          <c:x val="0.22414235665475737"/>
          <c:y val="0.88969351851851985"/>
          <c:w val="0.62230134642670565"/>
          <c:h val="7.136329846923081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Number of Elements with Problem Experienced</a:t>
            </a:r>
          </a:p>
        </c:rich>
      </c:tx>
      <c:layout>
        <c:manualLayout>
          <c:xMode val="edge"/>
          <c:yMode val="edge"/>
          <c:x val="2.3157015282999692E-3"/>
          <c:y val="0"/>
        </c:manualLayout>
      </c:layout>
      <c:overlay val="0"/>
    </c:title>
    <c:autoTitleDeleted val="0"/>
    <c:plotArea>
      <c:layout>
        <c:manualLayout>
          <c:layoutTarget val="inner"/>
          <c:xMode val="edge"/>
          <c:yMode val="edge"/>
          <c:x val="0.10593608151922207"/>
          <c:y val="0.1432939814814819"/>
          <c:w val="0.89216242087385977"/>
          <c:h val="0.7139300925925941"/>
        </c:manualLayout>
      </c:layout>
      <c:barChart>
        <c:barDir val="col"/>
        <c:grouping val="clustered"/>
        <c:varyColors val="0"/>
        <c:ser>
          <c:idx val="0"/>
          <c:order val="0"/>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numRef>
              <c:f>'All 5'!$I$4:$I$9</c:f>
              <c:numCache>
                <c:formatCode>General</c:formatCode>
                <c:ptCount val="6"/>
                <c:pt idx="0">
                  <c:v>0</c:v>
                </c:pt>
                <c:pt idx="1">
                  <c:v>1</c:v>
                </c:pt>
                <c:pt idx="2">
                  <c:v>2</c:v>
                </c:pt>
                <c:pt idx="3">
                  <c:v>3</c:v>
                </c:pt>
                <c:pt idx="4">
                  <c:v>4</c:v>
                </c:pt>
                <c:pt idx="5">
                  <c:v>5</c:v>
                </c:pt>
              </c:numCache>
            </c:numRef>
          </c:cat>
          <c:val>
            <c:numRef>
              <c:f>'All 5'!$J$4:$J$9</c:f>
              <c:numCache>
                <c:formatCode>0</c:formatCode>
                <c:ptCount val="6"/>
                <c:pt idx="0">
                  <c:v>51.697655835759313</c:v>
                </c:pt>
                <c:pt idx="1">
                  <c:v>19.217692467043491</c:v>
                </c:pt>
                <c:pt idx="2">
                  <c:v>9.588091517216796</c:v>
                </c:pt>
                <c:pt idx="3">
                  <c:v>6.6014234707324837</c:v>
                </c:pt>
                <c:pt idx="4">
                  <c:v>7.4601296104883774</c:v>
                </c:pt>
                <c:pt idx="5">
                  <c:v>5.4350070987594394</c:v>
                </c:pt>
              </c:numCache>
            </c:numRef>
          </c:val>
        </c:ser>
        <c:dLbls>
          <c:showLegendKey val="0"/>
          <c:showVal val="0"/>
          <c:showCatName val="0"/>
          <c:showSerName val="0"/>
          <c:showPercent val="0"/>
          <c:showBubbleSize val="0"/>
        </c:dLbls>
        <c:gapWidth val="150"/>
        <c:axId val="131240320"/>
        <c:axId val="131241856"/>
      </c:barChart>
      <c:catAx>
        <c:axId val="131240320"/>
        <c:scaling>
          <c:orientation val="minMax"/>
        </c:scaling>
        <c:delete val="0"/>
        <c:axPos val="b"/>
        <c:numFmt formatCode="General" sourceLinked="1"/>
        <c:majorTickMark val="out"/>
        <c:minorTickMark val="none"/>
        <c:tickLblPos val="nextTo"/>
        <c:txPr>
          <a:bodyPr/>
          <a:lstStyle/>
          <a:p>
            <a:pPr>
              <a:defRPr sz="900"/>
            </a:pPr>
            <a:endParaRPr lang="en-US"/>
          </a:p>
        </c:txPr>
        <c:crossAx val="131241856"/>
        <c:crosses val="autoZero"/>
        <c:auto val="1"/>
        <c:lblAlgn val="ctr"/>
        <c:lblOffset val="100"/>
        <c:noMultiLvlLbl val="0"/>
      </c:catAx>
      <c:valAx>
        <c:axId val="131241856"/>
        <c:scaling>
          <c:orientation val="minMax"/>
          <c:max val="60"/>
        </c:scaling>
        <c:delete val="0"/>
        <c:axPos val="l"/>
        <c:title>
          <c:tx>
            <c:rich>
              <a:bodyPr rot="0" vert="horz"/>
              <a:lstStyle/>
              <a:p>
                <a:pPr>
                  <a:defRPr sz="900"/>
                </a:pPr>
                <a:r>
                  <a:rPr lang="en-GB" sz="900"/>
                  <a:t>%</a:t>
                </a:r>
              </a:p>
            </c:rich>
          </c:tx>
          <c:layout>
            <c:manualLayout>
              <c:xMode val="edge"/>
              <c:yMode val="edge"/>
              <c:x val="1.5779597003170761E-3"/>
              <c:y val="0.44217348771967996"/>
            </c:manualLayout>
          </c:layout>
          <c:overlay val="0"/>
        </c:title>
        <c:numFmt formatCode="0" sourceLinked="1"/>
        <c:majorTickMark val="out"/>
        <c:minorTickMark val="none"/>
        <c:tickLblPos val="nextTo"/>
        <c:txPr>
          <a:bodyPr/>
          <a:lstStyle/>
          <a:p>
            <a:pPr>
              <a:defRPr sz="900"/>
            </a:pPr>
            <a:endParaRPr lang="en-US"/>
          </a:p>
        </c:txPr>
        <c:crossAx val="131240320"/>
        <c:crosses val="autoZero"/>
        <c:crossBetween val="between"/>
        <c:majorUnit val="20"/>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0871229202075"/>
          <c:y val="7.7729629629629732E-2"/>
          <c:w val="0.89049128770797858"/>
          <c:h val="0.7749467592592596"/>
        </c:manualLayout>
      </c:layout>
      <c:barChart>
        <c:barDir val="col"/>
        <c:grouping val="clustered"/>
        <c:varyColors val="0"/>
        <c:ser>
          <c:idx val="0"/>
          <c:order val="0"/>
          <c:tx>
            <c:strRef>
              <c:f>'Influence on life'!$A$5</c:f>
              <c:strCache>
                <c:ptCount val="1"/>
                <c:pt idx="0">
                  <c:v>A great deal</c:v>
                </c:pt>
              </c:strCache>
            </c:strRef>
          </c:tx>
          <c:spPr>
            <a:solidFill>
              <a:srgbClr val="0099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'Influence on life'!$Q$4:$W$4</c:f>
              <c:strCache>
                <c:ptCount val="7"/>
                <c:pt idx="0">
                  <c:v>18-24</c:v>
                </c:pt>
                <c:pt idx="1">
                  <c:v>25-34</c:v>
                </c:pt>
                <c:pt idx="2">
                  <c:v>35-44</c:v>
                </c:pt>
                <c:pt idx="3">
                  <c:v>45-54</c:v>
                </c:pt>
                <c:pt idx="4">
                  <c:v>55-64</c:v>
                </c:pt>
                <c:pt idx="5">
                  <c:v>65-74</c:v>
                </c:pt>
                <c:pt idx="6">
                  <c:v>75+</c:v>
                </c:pt>
              </c:strCache>
            </c:strRef>
          </c:cat>
          <c:val>
            <c:numRef>
              <c:f>'Influence on life'!$Q$5:$W$5</c:f>
              <c:numCache>
                <c:formatCode>0</c:formatCode>
                <c:ptCount val="7"/>
                <c:pt idx="0">
                  <c:v>53.222426862635082</c:v>
                </c:pt>
                <c:pt idx="1">
                  <c:v>62.153297559571755</c:v>
                </c:pt>
                <c:pt idx="2">
                  <c:v>60.917461243604919</c:v>
                </c:pt>
                <c:pt idx="3">
                  <c:v>56.445378655529638</c:v>
                </c:pt>
                <c:pt idx="4">
                  <c:v>53.527890919332954</c:v>
                </c:pt>
                <c:pt idx="5">
                  <c:v>45.759821702862894</c:v>
                </c:pt>
                <c:pt idx="6">
                  <c:v>38.013530769903646</c:v>
                </c:pt>
              </c:numCache>
            </c:numRef>
          </c:val>
        </c:ser>
        <c:dLbls>
          <c:showLegendKey val="0"/>
          <c:showVal val="0"/>
          <c:showCatName val="0"/>
          <c:showSerName val="0"/>
          <c:showPercent val="0"/>
          <c:showBubbleSize val="0"/>
        </c:dLbls>
        <c:gapWidth val="150"/>
        <c:axId val="131254912"/>
        <c:axId val="131264896"/>
      </c:barChart>
      <c:catAx>
        <c:axId val="131254912"/>
        <c:scaling>
          <c:orientation val="minMax"/>
        </c:scaling>
        <c:delete val="0"/>
        <c:axPos val="b"/>
        <c:majorTickMark val="out"/>
        <c:minorTickMark val="none"/>
        <c:tickLblPos val="nextTo"/>
        <c:txPr>
          <a:bodyPr/>
          <a:lstStyle/>
          <a:p>
            <a:pPr>
              <a:defRPr sz="900"/>
            </a:pPr>
            <a:endParaRPr lang="en-US"/>
          </a:p>
        </c:txPr>
        <c:crossAx val="131264896"/>
        <c:crosses val="autoZero"/>
        <c:auto val="1"/>
        <c:lblAlgn val="ctr"/>
        <c:lblOffset val="100"/>
        <c:noMultiLvlLbl val="0"/>
      </c:catAx>
      <c:valAx>
        <c:axId val="131264896"/>
        <c:scaling>
          <c:orientation val="minMax"/>
          <c:max val="80"/>
        </c:scaling>
        <c:delete val="0"/>
        <c:axPos val="l"/>
        <c:title>
          <c:tx>
            <c:rich>
              <a:bodyPr rot="0" vert="horz"/>
              <a:lstStyle/>
              <a:p>
                <a:pPr>
                  <a:defRPr sz="900"/>
                </a:pPr>
                <a:r>
                  <a:rPr lang="en-GB" sz="900"/>
                  <a:t>%</a:t>
                </a:r>
              </a:p>
            </c:rich>
          </c:tx>
          <c:layout>
            <c:manualLayout>
              <c:xMode val="edge"/>
              <c:yMode val="edge"/>
              <c:x val="7.1273139315735324E-3"/>
              <c:y val="0.41003703703703703"/>
            </c:manualLayout>
          </c:layout>
          <c:overlay val="0"/>
        </c:title>
        <c:numFmt formatCode="0" sourceLinked="1"/>
        <c:majorTickMark val="out"/>
        <c:minorTickMark val="none"/>
        <c:tickLblPos val="nextTo"/>
        <c:txPr>
          <a:bodyPr/>
          <a:lstStyle/>
          <a:p>
            <a:pPr>
              <a:defRPr sz="900"/>
            </a:pPr>
            <a:endParaRPr lang="en-US"/>
          </a:p>
        </c:txPr>
        <c:crossAx val="131254912"/>
        <c:crosses val="autoZero"/>
        <c:crossBetween val="between"/>
        <c:majorUnit val="20"/>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b="1" i="0" baseline="0"/>
              <a:t>Health in General Against Health Today</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0174266975308655"/>
          <c:w val="0.89974542418519199"/>
          <c:h val="0.63542361111111212"/>
        </c:manualLayout>
      </c:layout>
      <c:barChart>
        <c:barDir val="col"/>
        <c:grouping val="stacked"/>
        <c:varyColors val="0"/>
        <c:ser>
          <c:idx val="0"/>
          <c:order val="0"/>
          <c:tx>
            <c:strRef>
              <c:f>'Health Rating'!$C$20</c:f>
              <c:strCache>
                <c:ptCount val="1"/>
                <c:pt idx="0">
                  <c:v>Very Good / Good</c:v>
                </c:pt>
              </c:strCache>
            </c:strRef>
          </c:tx>
          <c:spPr>
            <a:solidFill>
              <a:srgbClr val="009999"/>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'Health Rating'!$B$21:$B$30</c:f>
              <c:strCache>
                <c:ptCount val="10"/>
                <c:pt idx="0">
                  <c:v>0-10</c:v>
                </c:pt>
                <c:pt idx="1">
                  <c:v>11-20</c:v>
                </c:pt>
                <c:pt idx="2">
                  <c:v>21-30</c:v>
                </c:pt>
                <c:pt idx="3">
                  <c:v>31-40</c:v>
                </c:pt>
                <c:pt idx="4">
                  <c:v>41-50</c:v>
                </c:pt>
                <c:pt idx="5">
                  <c:v>51-60</c:v>
                </c:pt>
                <c:pt idx="6">
                  <c:v>61-70</c:v>
                </c:pt>
                <c:pt idx="7">
                  <c:v>71-80</c:v>
                </c:pt>
                <c:pt idx="8">
                  <c:v>81-90</c:v>
                </c:pt>
                <c:pt idx="9">
                  <c:v>91-100</c:v>
                </c:pt>
              </c:strCache>
            </c:strRef>
          </c:cat>
          <c:val>
            <c:numRef>
              <c:f>'Health Rating'!$C$21:$C$30</c:f>
              <c:numCache>
                <c:formatCode>0</c:formatCode>
                <c:ptCount val="10"/>
                <c:pt idx="0">
                  <c:v>55.436483211491975</c:v>
                </c:pt>
                <c:pt idx="1">
                  <c:v>11.278517419334499</c:v>
                </c:pt>
                <c:pt idx="2">
                  <c:v>11.006937569223426</c:v>
                </c:pt>
                <c:pt idx="3">
                  <c:v>20.570255741058684</c:v>
                </c:pt>
                <c:pt idx="4">
                  <c:v>28.876686605217085</c:v>
                </c:pt>
                <c:pt idx="5">
                  <c:v>43.879871715125525</c:v>
                </c:pt>
                <c:pt idx="6">
                  <c:v>62.465476154950103</c:v>
                </c:pt>
                <c:pt idx="7">
                  <c:v>84.615885355507658</c:v>
                </c:pt>
                <c:pt idx="8">
                  <c:v>93.077348248467189</c:v>
                </c:pt>
                <c:pt idx="9">
                  <c:v>96.535843375740612</c:v>
                </c:pt>
              </c:numCache>
            </c:numRef>
          </c:val>
        </c:ser>
        <c:ser>
          <c:idx val="1"/>
          <c:order val="1"/>
          <c:tx>
            <c:strRef>
              <c:f>'Health Rating'!$D$20</c:f>
              <c:strCache>
                <c:ptCount val="1"/>
                <c:pt idx="0">
                  <c:v>Fair</c:v>
                </c:pt>
              </c:strCache>
            </c:strRef>
          </c:tx>
          <c:spPr>
            <a:solidFill>
              <a:srgbClr val="00CC99"/>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'Health Rating'!$B$21:$B$30</c:f>
              <c:strCache>
                <c:ptCount val="10"/>
                <c:pt idx="0">
                  <c:v>0-10</c:v>
                </c:pt>
                <c:pt idx="1">
                  <c:v>11-20</c:v>
                </c:pt>
                <c:pt idx="2">
                  <c:v>21-30</c:v>
                </c:pt>
                <c:pt idx="3">
                  <c:v>31-40</c:v>
                </c:pt>
                <c:pt idx="4">
                  <c:v>41-50</c:v>
                </c:pt>
                <c:pt idx="5">
                  <c:v>51-60</c:v>
                </c:pt>
                <c:pt idx="6">
                  <c:v>61-70</c:v>
                </c:pt>
                <c:pt idx="7">
                  <c:v>71-80</c:v>
                </c:pt>
                <c:pt idx="8">
                  <c:v>81-90</c:v>
                </c:pt>
                <c:pt idx="9">
                  <c:v>91-100</c:v>
                </c:pt>
              </c:strCache>
            </c:strRef>
          </c:cat>
          <c:val>
            <c:numRef>
              <c:f>'Health Rating'!$D$21:$D$30</c:f>
              <c:numCache>
                <c:formatCode>0</c:formatCode>
                <c:ptCount val="10"/>
                <c:pt idx="0">
                  <c:v>13.517421088311998</c:v>
                </c:pt>
                <c:pt idx="1">
                  <c:v>19.670168260451931</c:v>
                </c:pt>
                <c:pt idx="2">
                  <c:v>25.453034850622789</c:v>
                </c:pt>
                <c:pt idx="3">
                  <c:v>38.57486545084609</c:v>
                </c:pt>
                <c:pt idx="4">
                  <c:v>45.818248576209044</c:v>
                </c:pt>
                <c:pt idx="5">
                  <c:v>41.247242298454083</c:v>
                </c:pt>
                <c:pt idx="6">
                  <c:v>33.059061312831936</c:v>
                </c:pt>
                <c:pt idx="7">
                  <c:v>13.761615637339849</c:v>
                </c:pt>
                <c:pt idx="8">
                  <c:v>5.8102030539671734</c:v>
                </c:pt>
                <c:pt idx="9">
                  <c:v>2.9272481712030767</c:v>
                </c:pt>
              </c:numCache>
            </c:numRef>
          </c:val>
        </c:ser>
        <c:ser>
          <c:idx val="2"/>
          <c:order val="2"/>
          <c:tx>
            <c:strRef>
              <c:f>'Health Rating'!$E$20</c:f>
              <c:strCache>
                <c:ptCount val="1"/>
                <c:pt idx="0">
                  <c:v>Bad / Very bad</c:v>
                </c:pt>
              </c:strCache>
            </c:strRef>
          </c:tx>
          <c:spPr>
            <a:solidFill>
              <a:srgbClr val="CCFFCC"/>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'Health Rating'!$B$21:$B$30</c:f>
              <c:strCache>
                <c:ptCount val="10"/>
                <c:pt idx="0">
                  <c:v>0-10</c:v>
                </c:pt>
                <c:pt idx="1">
                  <c:v>11-20</c:v>
                </c:pt>
                <c:pt idx="2">
                  <c:v>21-30</c:v>
                </c:pt>
                <c:pt idx="3">
                  <c:v>31-40</c:v>
                </c:pt>
                <c:pt idx="4">
                  <c:v>41-50</c:v>
                </c:pt>
                <c:pt idx="5">
                  <c:v>51-60</c:v>
                </c:pt>
                <c:pt idx="6">
                  <c:v>61-70</c:v>
                </c:pt>
                <c:pt idx="7">
                  <c:v>71-80</c:v>
                </c:pt>
                <c:pt idx="8">
                  <c:v>81-90</c:v>
                </c:pt>
                <c:pt idx="9">
                  <c:v>91-100</c:v>
                </c:pt>
              </c:strCache>
            </c:strRef>
          </c:cat>
          <c:val>
            <c:numRef>
              <c:f>'Health Rating'!$E$21:$E$30</c:f>
              <c:numCache>
                <c:formatCode>0</c:formatCode>
                <c:ptCount val="10"/>
                <c:pt idx="0">
                  <c:v>31.046095700195973</c:v>
                </c:pt>
                <c:pt idx="1">
                  <c:v>69.051314320213592</c:v>
                </c:pt>
                <c:pt idx="2">
                  <c:v>63.540027580153151</c:v>
                </c:pt>
                <c:pt idx="3">
                  <c:v>40.854878808093972</c:v>
                </c:pt>
                <c:pt idx="4">
                  <c:v>25.305064818573687</c:v>
                </c:pt>
                <c:pt idx="5">
                  <c:v>14.872885986420426</c:v>
                </c:pt>
                <c:pt idx="6">
                  <c:v>4.4754625322182884</c:v>
                </c:pt>
                <c:pt idx="7">
                  <c:v>1.6224990071521654</c:v>
                </c:pt>
                <c:pt idx="8">
                  <c:v>1.1124486975656094</c:v>
                </c:pt>
                <c:pt idx="9">
                  <c:v>0.53690845305640056</c:v>
                </c:pt>
              </c:numCache>
            </c:numRef>
          </c:val>
        </c:ser>
        <c:dLbls>
          <c:showLegendKey val="0"/>
          <c:showVal val="1"/>
          <c:showCatName val="0"/>
          <c:showSerName val="0"/>
          <c:showPercent val="0"/>
          <c:showBubbleSize val="0"/>
        </c:dLbls>
        <c:gapWidth val="70"/>
        <c:overlap val="100"/>
        <c:axId val="131385600"/>
        <c:axId val="131404160"/>
      </c:barChart>
      <c:catAx>
        <c:axId val="131385600"/>
        <c:scaling>
          <c:orientation val="minMax"/>
        </c:scaling>
        <c:delete val="0"/>
        <c:axPos val="b"/>
        <c:title>
          <c:tx>
            <c:rich>
              <a:bodyPr/>
              <a:lstStyle/>
              <a:p>
                <a:pPr>
                  <a:defRPr sz="900"/>
                </a:pPr>
                <a:r>
                  <a:rPr lang="en-GB" sz="800" b="1" i="0" baseline="0"/>
                  <a:t>Rating of Health Today (100 = Best Possible)</a:t>
                </a:r>
                <a:endParaRPr lang="en-GB" sz="800"/>
              </a:p>
              <a:p>
                <a:pPr>
                  <a:defRPr sz="900"/>
                </a:pPr>
                <a:endParaRPr lang="en-GB" sz="200" b="1" i="0" baseline="0"/>
              </a:p>
              <a:p>
                <a:pPr>
                  <a:defRPr sz="900"/>
                </a:pPr>
                <a:r>
                  <a:rPr lang="en-GB" sz="800" b="1" i="0" baseline="0"/>
                  <a:t>General Health</a:t>
                </a:r>
                <a:endParaRPr lang="en-GB" sz="800"/>
              </a:p>
            </c:rich>
          </c:tx>
          <c:overlay val="0"/>
        </c:title>
        <c:majorTickMark val="out"/>
        <c:minorTickMark val="none"/>
        <c:tickLblPos val="nextTo"/>
        <c:txPr>
          <a:bodyPr/>
          <a:lstStyle/>
          <a:p>
            <a:pPr>
              <a:defRPr sz="800"/>
            </a:pPr>
            <a:endParaRPr lang="en-US"/>
          </a:p>
        </c:txPr>
        <c:crossAx val="131404160"/>
        <c:crosses val="autoZero"/>
        <c:auto val="1"/>
        <c:lblAlgn val="ctr"/>
        <c:lblOffset val="100"/>
        <c:noMultiLvlLbl val="0"/>
      </c:catAx>
      <c:valAx>
        <c:axId val="13140416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1385600"/>
        <c:crosses val="autoZero"/>
        <c:crossBetween val="between"/>
        <c:majorUnit val="20"/>
      </c:valAx>
    </c:plotArea>
    <c:legend>
      <c:legendPos val="b"/>
      <c:layout>
        <c:manualLayout>
          <c:xMode val="edge"/>
          <c:yMode val="edge"/>
          <c:x val="0"/>
          <c:y val="0.92467013888889904"/>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Hospital Departments Attended</a:t>
            </a:r>
          </a:p>
        </c:rich>
      </c:tx>
      <c:layout>
        <c:manualLayout>
          <c:xMode val="edge"/>
          <c:yMode val="edge"/>
          <c:x val="3.2771309479280274E-3"/>
          <c:y val="0"/>
        </c:manualLayout>
      </c:layout>
      <c:overlay val="0"/>
    </c:title>
    <c:autoTitleDeleted val="0"/>
    <c:plotArea>
      <c:layout>
        <c:manualLayout>
          <c:layoutTarget val="inner"/>
          <c:xMode val="edge"/>
          <c:yMode val="edge"/>
          <c:x val="6.932856961161793E-2"/>
          <c:y val="0.15644841269841309"/>
          <c:w val="0.45655115797749951"/>
          <c:h val="0.78344722222222218"/>
        </c:manualLayout>
      </c:layout>
      <c:pieChart>
        <c:varyColors val="1"/>
        <c:ser>
          <c:idx val="0"/>
          <c:order val="0"/>
          <c:spPr>
            <a:ln>
              <a:noFill/>
            </a:ln>
          </c:spPr>
          <c:dPt>
            <c:idx val="0"/>
            <c:bubble3D val="0"/>
            <c:spPr>
              <a:solidFill>
                <a:srgbClr val="6600CC"/>
              </a:solidFill>
              <a:ln>
                <a:noFill/>
              </a:ln>
            </c:spPr>
          </c:dPt>
          <c:dPt>
            <c:idx val="1"/>
            <c:bubble3D val="0"/>
            <c:spPr>
              <a:solidFill>
                <a:srgbClr val="CC66FF"/>
              </a:solidFill>
              <a:ln>
                <a:noFill/>
              </a:ln>
            </c:spPr>
          </c:dPt>
          <c:dPt>
            <c:idx val="2"/>
            <c:bubble3D val="0"/>
            <c:spPr>
              <a:solidFill>
                <a:srgbClr val="4F009E"/>
              </a:solidFill>
              <a:ln>
                <a:noFill/>
              </a:ln>
            </c:spPr>
          </c:dPt>
          <c:dPt>
            <c:idx val="3"/>
            <c:bubble3D val="0"/>
            <c:spPr>
              <a:solidFill>
                <a:srgbClr val="9999FF"/>
              </a:solidFill>
              <a:ln>
                <a:noFill/>
              </a:ln>
            </c:spPr>
          </c:dPt>
          <c:dPt>
            <c:idx val="4"/>
            <c:bubble3D val="0"/>
            <c:spPr>
              <a:solidFill>
                <a:srgbClr val="9900CC"/>
              </a:solidFill>
              <a:ln>
                <a:noFill/>
              </a:ln>
            </c:spPr>
          </c:dPt>
          <c:dPt>
            <c:idx val="5"/>
            <c:bubble3D val="0"/>
            <c:spPr>
              <a:solidFill>
                <a:srgbClr val="E05BFF"/>
              </a:solidFill>
              <a:ln>
                <a:noFill/>
              </a:ln>
            </c:spPr>
          </c:dPt>
          <c:dPt>
            <c:idx val="6"/>
            <c:bubble3D val="0"/>
            <c:spPr>
              <a:solidFill>
                <a:srgbClr val="6600FF"/>
              </a:solidFill>
              <a:ln>
                <a:noFill/>
              </a:ln>
            </c:spPr>
          </c:dPt>
          <c:dPt>
            <c:idx val="7"/>
            <c:bubble3D val="0"/>
            <c:spPr>
              <a:solidFill>
                <a:srgbClr val="CCCCFF"/>
              </a:solidFill>
              <a:ln>
                <a:noFill/>
              </a:ln>
            </c:spPr>
          </c:dPt>
          <c:dLbls>
            <c:dLbl>
              <c:idx val="0"/>
              <c:layout>
                <c:manualLayout>
                  <c:x val="-4.2878120411160058E-3"/>
                  <c:y val="0"/>
                </c:manualLayout>
              </c:layout>
              <c:dLblPos val="bestFit"/>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1"/>
          </c:dLbls>
          <c:cat>
            <c:strRef>
              <c:f>Sheet2!$A$4:$A$11</c:f>
              <c:strCache>
                <c:ptCount val="8"/>
                <c:pt idx="0">
                  <c:v>Did not attend hospital</c:v>
                </c:pt>
                <c:pt idx="1">
                  <c:v>Outpatients only</c:v>
                </c:pt>
                <c:pt idx="2">
                  <c:v>A&amp;E only</c:v>
                </c:pt>
                <c:pt idx="3">
                  <c:v>Outpatients and A&amp;E</c:v>
                </c:pt>
                <c:pt idx="4">
                  <c:v>Inpatients only</c:v>
                </c:pt>
                <c:pt idx="5">
                  <c:v>Inpatients and outpatients</c:v>
                </c:pt>
                <c:pt idx="6">
                  <c:v>Inpatients, outpatients &amp; A&amp;E</c:v>
                </c:pt>
                <c:pt idx="7">
                  <c:v>Inpatients and A&amp;E</c:v>
                </c:pt>
              </c:strCache>
            </c:strRef>
          </c:cat>
          <c:val>
            <c:numRef>
              <c:f>Sheet2!$B$4:$B$11</c:f>
              <c:numCache>
                <c:formatCode>0</c:formatCode>
                <c:ptCount val="8"/>
                <c:pt idx="0">
                  <c:v>52.765014238678198</c:v>
                </c:pt>
                <c:pt idx="1">
                  <c:v>20.851124985071024</c:v>
                </c:pt>
                <c:pt idx="2">
                  <c:v>6.2533504574280263</c:v>
                </c:pt>
                <c:pt idx="3">
                  <c:v>6.1058476806667885</c:v>
                </c:pt>
                <c:pt idx="4">
                  <c:v>4.314657732373858</c:v>
                </c:pt>
                <c:pt idx="5">
                  <c:v>4.0735612379113917</c:v>
                </c:pt>
                <c:pt idx="6">
                  <c:v>3.8188076128112107</c:v>
                </c:pt>
                <c:pt idx="7">
                  <c:v>1.7964425918716904</c:v>
                </c:pt>
              </c:numCache>
            </c:numRef>
          </c:val>
        </c:ser>
        <c:dLbls>
          <c:showLegendKey val="0"/>
          <c:showVal val="0"/>
          <c:showCatName val="0"/>
          <c:showSerName val="0"/>
          <c:showPercent val="0"/>
          <c:showBubbleSize val="0"/>
          <c:showLeaderLines val="1"/>
        </c:dLbls>
        <c:firstSliceAng val="0"/>
      </c:pieChart>
      <c:spPr>
        <a:ln>
          <a:solidFill>
            <a:schemeClr val="bg1"/>
          </a:solidFill>
        </a:ln>
      </c:spPr>
    </c:plotArea>
    <c:legend>
      <c:legendPos val="r"/>
      <c:layout>
        <c:manualLayout>
          <c:xMode val="edge"/>
          <c:yMode val="edge"/>
          <c:x val="0.58479725276631167"/>
          <c:y val="0.11097376543209875"/>
          <c:w val="0.41520274723368866"/>
          <c:h val="0.85374845679012634"/>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Health in General</a:t>
            </a:r>
            <a:r>
              <a:rPr lang="en-GB" sz="1000" baseline="0"/>
              <a:t> by Urban/Rural Location</a:t>
            </a:r>
            <a:endParaRPr lang="en-GB" sz="1000"/>
          </a:p>
        </c:rich>
      </c:tx>
      <c:layout>
        <c:manualLayout>
          <c:xMode val="edge"/>
          <c:yMode val="edge"/>
          <c:x val="1.0921665459286281E-3"/>
          <c:y val="0"/>
        </c:manualLayout>
      </c:layout>
      <c:overlay val="0"/>
    </c:title>
    <c:autoTitleDeleted val="0"/>
    <c:plotArea>
      <c:layout>
        <c:manualLayout>
          <c:layoutTarget val="inner"/>
          <c:xMode val="edge"/>
          <c:yMode val="edge"/>
          <c:x val="9.2585937770994498E-2"/>
          <c:y val="0.12717564102564077"/>
          <c:w val="0.90741406222900545"/>
          <c:h val="0.64591282051282062"/>
        </c:manualLayout>
      </c:layout>
      <c:barChart>
        <c:barDir val="col"/>
        <c:grouping val="clustered"/>
        <c:varyColors val="0"/>
        <c:ser>
          <c:idx val="0"/>
          <c:order val="0"/>
          <c:tx>
            <c:strRef>
              <c:f>'General Health'!$E$33</c:f>
              <c:strCache>
                <c:ptCount val="1"/>
                <c:pt idx="0">
                  <c:v>Urban</c:v>
                </c:pt>
              </c:strCache>
            </c:strRef>
          </c:tx>
          <c:spPr>
            <a:solidFill>
              <a:srgbClr val="4F81B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'General Health'!$A$34:$A$37</c:f>
              <c:strCache>
                <c:ptCount val="4"/>
                <c:pt idx="0">
                  <c:v>Very Good</c:v>
                </c:pt>
                <c:pt idx="1">
                  <c:v>Good</c:v>
                </c:pt>
                <c:pt idx="2">
                  <c:v>Fair</c:v>
                </c:pt>
                <c:pt idx="3">
                  <c:v>Bad / Very Bad</c:v>
                </c:pt>
              </c:strCache>
            </c:strRef>
          </c:cat>
          <c:val>
            <c:numRef>
              <c:f>'General Health'!$E$34:$E$37</c:f>
              <c:numCache>
                <c:formatCode>0</c:formatCode>
                <c:ptCount val="4"/>
                <c:pt idx="0">
                  <c:v>29.169659414257648</c:v>
                </c:pt>
                <c:pt idx="1">
                  <c:v>40.680679646997426</c:v>
                </c:pt>
                <c:pt idx="2">
                  <c:v>19.191041130682031</c:v>
                </c:pt>
                <c:pt idx="3">
                  <c:v>10.958619808062474</c:v>
                </c:pt>
              </c:numCache>
            </c:numRef>
          </c:val>
        </c:ser>
        <c:ser>
          <c:idx val="1"/>
          <c:order val="1"/>
          <c:tx>
            <c:strRef>
              <c:f>'General Health'!$F$33</c:f>
              <c:strCache>
                <c:ptCount val="1"/>
                <c:pt idx="0">
                  <c:v>Rural</c:v>
                </c:pt>
              </c:strCache>
            </c:strRef>
          </c:tx>
          <c:spPr>
            <a:solidFill>
              <a:srgbClr val="4F81BD">
                <a:lumMod val="20000"/>
                <a:lumOff val="80000"/>
              </a:srgbClr>
            </a:solidFill>
            <a:ln>
              <a:solidFill>
                <a:srgbClr val="4F81BD">
                  <a:lumMod val="40000"/>
                  <a:lumOff val="60000"/>
                </a:srgbClr>
              </a:solidFill>
            </a:ln>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'General Health'!$A$34:$A$37</c:f>
              <c:strCache>
                <c:ptCount val="4"/>
                <c:pt idx="0">
                  <c:v>Very Good</c:v>
                </c:pt>
                <c:pt idx="1">
                  <c:v>Good</c:v>
                </c:pt>
                <c:pt idx="2">
                  <c:v>Fair</c:v>
                </c:pt>
                <c:pt idx="3">
                  <c:v>Bad / Very Bad</c:v>
                </c:pt>
              </c:strCache>
            </c:strRef>
          </c:cat>
          <c:val>
            <c:numRef>
              <c:f>'General Health'!$F$34:$F$37</c:f>
              <c:numCache>
                <c:formatCode>0</c:formatCode>
                <c:ptCount val="4"/>
                <c:pt idx="0">
                  <c:v>37.518636731583811</c:v>
                </c:pt>
                <c:pt idx="1">
                  <c:v>39.123866519195545</c:v>
                </c:pt>
                <c:pt idx="2">
                  <c:v>17.820274835444071</c:v>
                </c:pt>
                <c:pt idx="3">
                  <c:v>5.5372219137763414</c:v>
                </c:pt>
              </c:numCache>
            </c:numRef>
          </c:val>
        </c:ser>
        <c:dLbls>
          <c:showLegendKey val="0"/>
          <c:showVal val="1"/>
          <c:showCatName val="0"/>
          <c:showSerName val="0"/>
          <c:showPercent val="0"/>
          <c:showBubbleSize val="0"/>
        </c:dLbls>
        <c:gapWidth val="150"/>
        <c:axId val="109529728"/>
        <c:axId val="109535616"/>
      </c:barChart>
      <c:catAx>
        <c:axId val="109529728"/>
        <c:scaling>
          <c:orientation val="minMax"/>
        </c:scaling>
        <c:delete val="0"/>
        <c:axPos val="b"/>
        <c:majorTickMark val="out"/>
        <c:minorTickMark val="none"/>
        <c:tickLblPos val="nextTo"/>
        <c:txPr>
          <a:bodyPr/>
          <a:lstStyle/>
          <a:p>
            <a:pPr>
              <a:defRPr sz="900"/>
            </a:pPr>
            <a:endParaRPr lang="en-US"/>
          </a:p>
        </c:txPr>
        <c:crossAx val="109535616"/>
        <c:crosses val="autoZero"/>
        <c:auto val="1"/>
        <c:lblAlgn val="ctr"/>
        <c:lblOffset val="100"/>
        <c:noMultiLvlLbl val="0"/>
      </c:catAx>
      <c:valAx>
        <c:axId val="109535616"/>
        <c:scaling>
          <c:orientation val="minMax"/>
          <c:max val="50"/>
        </c:scaling>
        <c:delete val="0"/>
        <c:axPos val="l"/>
        <c:title>
          <c:tx>
            <c:rich>
              <a:bodyPr rot="0" vert="horz"/>
              <a:lstStyle/>
              <a:p>
                <a:pPr>
                  <a:defRPr sz="900"/>
                </a:pPr>
                <a:r>
                  <a:rPr lang="en-GB" sz="900"/>
                  <a:t>%</a:t>
                </a:r>
              </a:p>
            </c:rich>
          </c:tx>
          <c:layout>
            <c:manualLayout>
              <c:xMode val="edge"/>
              <c:yMode val="edge"/>
              <c:x val="6.0101518147235894E-4"/>
              <c:y val="0.37993833333333332"/>
            </c:manualLayout>
          </c:layout>
          <c:overlay val="0"/>
        </c:title>
        <c:numFmt formatCode="0" sourceLinked="1"/>
        <c:majorTickMark val="out"/>
        <c:minorTickMark val="none"/>
        <c:tickLblPos val="nextTo"/>
        <c:txPr>
          <a:bodyPr/>
          <a:lstStyle/>
          <a:p>
            <a:pPr>
              <a:defRPr sz="900"/>
            </a:pPr>
            <a:endParaRPr lang="en-US"/>
          </a:p>
        </c:txPr>
        <c:crossAx val="109529728"/>
        <c:crosses val="autoZero"/>
        <c:crossBetween val="between"/>
        <c:majorUnit val="10"/>
      </c:valAx>
    </c:plotArea>
    <c:legend>
      <c:legendPos val="b"/>
      <c:layout>
        <c:manualLayout>
          <c:xMode val="edge"/>
          <c:yMode val="edge"/>
          <c:x val="0.37647743055555588"/>
          <c:y val="0.8863799999999995"/>
          <c:w val="0.30560451388889548"/>
          <c:h val="0.1099550000000000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Inpatient Route of Admission by Gender</a:t>
            </a:r>
          </a:p>
        </c:rich>
      </c:tx>
      <c:layout>
        <c:manualLayout>
          <c:xMode val="edge"/>
          <c:yMode val="edge"/>
          <c:x val="3.6278237318952567E-3"/>
          <c:y val="0"/>
        </c:manualLayout>
      </c:layout>
      <c:overlay val="0"/>
    </c:title>
    <c:autoTitleDeleted val="0"/>
    <c:plotArea>
      <c:layout>
        <c:manualLayout>
          <c:layoutTarget val="inner"/>
          <c:xMode val="edge"/>
          <c:yMode val="edge"/>
          <c:x val="8.714373258408778E-2"/>
          <c:y val="0.13558452380952382"/>
          <c:w val="0.90577080948581945"/>
          <c:h val="0.62514087301587506"/>
        </c:manualLayout>
      </c:layout>
      <c:barChart>
        <c:barDir val="col"/>
        <c:grouping val="clustered"/>
        <c:varyColors val="0"/>
        <c:ser>
          <c:idx val="0"/>
          <c:order val="0"/>
          <c:tx>
            <c:strRef>
              <c:f>Sheet3!$B$2</c:f>
              <c:strCache>
                <c:ptCount val="1"/>
                <c:pt idx="0">
                  <c:v>Male</c:v>
                </c:pt>
              </c:strCache>
            </c:strRef>
          </c:tx>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Sheet3!$A$3:$A$5</c:f>
              <c:strCache>
                <c:ptCount val="3"/>
                <c:pt idx="0">
                  <c:v>Planned admission</c:v>
                </c:pt>
                <c:pt idx="1">
                  <c:v>Emergency admission through A&amp;E</c:v>
                </c:pt>
                <c:pt idx="2">
                  <c:v>Emergency admission not through A&amp;E</c:v>
                </c:pt>
              </c:strCache>
            </c:strRef>
          </c:cat>
          <c:val>
            <c:numRef>
              <c:f>Sheet3!$B$3:$B$5</c:f>
              <c:numCache>
                <c:formatCode>0</c:formatCode>
                <c:ptCount val="3"/>
                <c:pt idx="0">
                  <c:v>41.583096222776881</c:v>
                </c:pt>
                <c:pt idx="1">
                  <c:v>50.746581031705254</c:v>
                </c:pt>
                <c:pt idx="2">
                  <c:v>7.6703227455177734</c:v>
                </c:pt>
              </c:numCache>
            </c:numRef>
          </c:val>
        </c:ser>
        <c:ser>
          <c:idx val="1"/>
          <c:order val="1"/>
          <c:tx>
            <c:strRef>
              <c:f>Sheet3!$C$2</c:f>
              <c:strCache>
                <c:ptCount val="1"/>
                <c:pt idx="0">
                  <c:v>Female</c:v>
                </c:pt>
              </c:strCache>
            </c:strRef>
          </c:tx>
          <c:spPr>
            <a:solidFill>
              <a:srgbClr val="CC99FF"/>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Sheet3!$A$3:$A$5</c:f>
              <c:strCache>
                <c:ptCount val="3"/>
                <c:pt idx="0">
                  <c:v>Planned admission</c:v>
                </c:pt>
                <c:pt idx="1">
                  <c:v>Emergency admission through A&amp;E</c:v>
                </c:pt>
                <c:pt idx="2">
                  <c:v>Emergency admission not through A&amp;E</c:v>
                </c:pt>
              </c:strCache>
            </c:strRef>
          </c:cat>
          <c:val>
            <c:numRef>
              <c:f>Sheet3!$C$3:$C$5</c:f>
              <c:numCache>
                <c:formatCode>0</c:formatCode>
                <c:ptCount val="3"/>
                <c:pt idx="0">
                  <c:v>57.005490810552516</c:v>
                </c:pt>
                <c:pt idx="1">
                  <c:v>30.703525979862089</c:v>
                </c:pt>
                <c:pt idx="2">
                  <c:v>12.290983209585528</c:v>
                </c:pt>
              </c:numCache>
            </c:numRef>
          </c:val>
        </c:ser>
        <c:dLbls>
          <c:showLegendKey val="0"/>
          <c:showVal val="1"/>
          <c:showCatName val="0"/>
          <c:showSerName val="0"/>
          <c:showPercent val="0"/>
          <c:showBubbleSize val="0"/>
        </c:dLbls>
        <c:gapWidth val="150"/>
        <c:axId val="135336320"/>
        <c:axId val="135337856"/>
      </c:barChart>
      <c:catAx>
        <c:axId val="135336320"/>
        <c:scaling>
          <c:orientation val="minMax"/>
        </c:scaling>
        <c:delete val="0"/>
        <c:axPos val="b"/>
        <c:majorTickMark val="out"/>
        <c:minorTickMark val="none"/>
        <c:tickLblPos val="nextTo"/>
        <c:txPr>
          <a:bodyPr/>
          <a:lstStyle/>
          <a:p>
            <a:pPr>
              <a:defRPr sz="900"/>
            </a:pPr>
            <a:endParaRPr lang="en-US"/>
          </a:p>
        </c:txPr>
        <c:crossAx val="135337856"/>
        <c:crosses val="autoZero"/>
        <c:auto val="1"/>
        <c:lblAlgn val="ctr"/>
        <c:lblOffset val="100"/>
        <c:noMultiLvlLbl val="0"/>
      </c:catAx>
      <c:valAx>
        <c:axId val="135337856"/>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5336320"/>
        <c:crosses val="autoZero"/>
        <c:crossBetween val="between"/>
        <c:majorUnit val="20"/>
      </c:valAx>
    </c:plotArea>
    <c:legend>
      <c:legendPos val="b"/>
      <c:layout>
        <c:manualLayout>
          <c:xMode val="edge"/>
          <c:yMode val="edge"/>
          <c:x val="0.37647743055555588"/>
          <c:y val="0.92497142006378075"/>
          <c:w val="0.30560451388889293"/>
          <c:h val="7.136329846923081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Length of wait for Planned Inpatient Admission</a:t>
            </a:r>
          </a:p>
        </c:rich>
      </c:tx>
      <c:layout>
        <c:manualLayout>
          <c:xMode val="edge"/>
          <c:yMode val="edge"/>
          <c:x val="6.8354781643483941E-3"/>
          <c:y val="0"/>
        </c:manualLayout>
      </c:layout>
      <c:overlay val="0"/>
    </c:title>
    <c:autoTitleDeleted val="0"/>
    <c:plotArea>
      <c:layout>
        <c:manualLayout>
          <c:layoutTarget val="inner"/>
          <c:xMode val="edge"/>
          <c:yMode val="edge"/>
          <c:x val="9.2548937990680702E-2"/>
          <c:y val="0.10341626984127"/>
          <c:w val="0.89034467607848722"/>
          <c:h val="0.72999761904761962"/>
        </c:manualLayout>
      </c:layout>
      <c:barChart>
        <c:barDir val="col"/>
        <c:grouping val="clustered"/>
        <c:varyColors val="0"/>
        <c:ser>
          <c:idx val="0"/>
          <c:order val="0"/>
          <c:tx>
            <c:strRef>
              <c:f>Sheet1!$B$3</c:f>
              <c:strCache>
                <c:ptCount val="1"/>
                <c:pt idx="0">
                  <c:v>Overall</c:v>
                </c:pt>
              </c:strCache>
            </c:strRef>
          </c:tx>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Sheet1!$A$31:$A$34</c:f>
              <c:strCache>
                <c:ptCount val="4"/>
                <c:pt idx="0">
                  <c:v>Up to 1 month</c:v>
                </c:pt>
                <c:pt idx="1">
                  <c:v>1 to 2 months</c:v>
                </c:pt>
                <c:pt idx="2">
                  <c:v>3 to 6 months</c:v>
                </c:pt>
                <c:pt idx="3">
                  <c:v>More than 6 months</c:v>
                </c:pt>
              </c:strCache>
            </c:strRef>
          </c:cat>
          <c:val>
            <c:numRef>
              <c:f>Sheet1!$B$31:$B$34</c:f>
              <c:numCache>
                <c:formatCode>0</c:formatCode>
                <c:ptCount val="4"/>
                <c:pt idx="0">
                  <c:v>32.760237449892024</c:v>
                </c:pt>
                <c:pt idx="1">
                  <c:v>14.067143537434974</c:v>
                </c:pt>
                <c:pt idx="2">
                  <c:v>20.714029584788889</c:v>
                </c:pt>
                <c:pt idx="3">
                  <c:v>22.753580568322889</c:v>
                </c:pt>
              </c:numCache>
            </c:numRef>
          </c:val>
        </c:ser>
        <c:dLbls>
          <c:showLegendKey val="0"/>
          <c:showVal val="0"/>
          <c:showCatName val="0"/>
          <c:showSerName val="0"/>
          <c:showPercent val="0"/>
          <c:showBubbleSize val="0"/>
        </c:dLbls>
        <c:gapWidth val="150"/>
        <c:axId val="135387776"/>
        <c:axId val="135389568"/>
      </c:barChart>
      <c:catAx>
        <c:axId val="135387776"/>
        <c:scaling>
          <c:orientation val="minMax"/>
        </c:scaling>
        <c:delete val="0"/>
        <c:axPos val="b"/>
        <c:majorTickMark val="out"/>
        <c:minorTickMark val="none"/>
        <c:tickLblPos val="nextTo"/>
        <c:txPr>
          <a:bodyPr/>
          <a:lstStyle/>
          <a:p>
            <a:pPr>
              <a:defRPr sz="900"/>
            </a:pPr>
            <a:endParaRPr lang="en-US"/>
          </a:p>
        </c:txPr>
        <c:crossAx val="135389568"/>
        <c:crosses val="autoZero"/>
        <c:auto val="1"/>
        <c:lblAlgn val="ctr"/>
        <c:lblOffset val="100"/>
        <c:noMultiLvlLbl val="0"/>
      </c:catAx>
      <c:valAx>
        <c:axId val="135389568"/>
        <c:scaling>
          <c:orientation val="minMax"/>
          <c:max val="40"/>
        </c:scaling>
        <c:delete val="0"/>
        <c:axPos val="l"/>
        <c:title>
          <c:tx>
            <c:rich>
              <a:bodyPr rot="0" vert="horz"/>
              <a:lstStyle/>
              <a:p>
                <a:pPr>
                  <a:defRPr sz="900"/>
                </a:pPr>
                <a:r>
                  <a:rPr lang="en-GB" sz="900"/>
                  <a:t>%</a:t>
                </a:r>
              </a:p>
            </c:rich>
          </c:tx>
          <c:layout>
            <c:manualLayout>
              <c:xMode val="edge"/>
              <c:yMode val="edge"/>
              <c:x val="1.5780406303837603E-3"/>
              <c:y val="0.42061507936507986"/>
            </c:manualLayout>
          </c:layout>
          <c:overlay val="0"/>
        </c:title>
        <c:numFmt formatCode="0" sourceLinked="1"/>
        <c:majorTickMark val="out"/>
        <c:minorTickMark val="none"/>
        <c:tickLblPos val="nextTo"/>
        <c:txPr>
          <a:bodyPr/>
          <a:lstStyle/>
          <a:p>
            <a:pPr>
              <a:defRPr sz="900"/>
            </a:pPr>
            <a:endParaRPr lang="en-US"/>
          </a:p>
        </c:txPr>
        <c:crossAx val="135387776"/>
        <c:crosses val="autoZero"/>
        <c:crossBetween val="between"/>
        <c:majorUnit val="10"/>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Rating of how well HSC staff worked together</a:t>
            </a:r>
          </a:p>
        </c:rich>
      </c:tx>
      <c:layout>
        <c:manualLayout>
          <c:xMode val="edge"/>
          <c:yMode val="edge"/>
          <c:x val="2.3158151742660228E-3"/>
          <c:y val="0"/>
        </c:manualLayout>
      </c:layout>
      <c:overlay val="0"/>
    </c:title>
    <c:autoTitleDeleted val="0"/>
    <c:plotArea>
      <c:layout>
        <c:manualLayout>
          <c:layoutTarget val="inner"/>
          <c:xMode val="edge"/>
          <c:yMode val="edge"/>
          <c:x val="0.10925832106224249"/>
          <c:y val="0.14151031746031764"/>
          <c:w val="0.88601570178177058"/>
          <c:h val="0.69807619047619063"/>
        </c:manualLayout>
      </c:layout>
      <c:barChart>
        <c:barDir val="col"/>
        <c:grouping val="clustered"/>
        <c:varyColors val="0"/>
        <c:ser>
          <c:idx val="0"/>
          <c:order val="0"/>
          <c:tx>
            <c:strRef>
              <c:f>Sheet2!$B$145</c:f>
              <c:strCache>
                <c:ptCount val="1"/>
                <c:pt idx="0">
                  <c:v>Rating of how well the health and social care staff worked together</c:v>
                </c:pt>
              </c:strCache>
            </c:strRef>
          </c:tx>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Sheet2!$A$146:$A$149</c:f>
              <c:strCache>
                <c:ptCount val="4"/>
                <c:pt idx="0">
                  <c:v>Excellent</c:v>
                </c:pt>
                <c:pt idx="1">
                  <c:v>Good</c:v>
                </c:pt>
                <c:pt idx="2">
                  <c:v>Fair</c:v>
                </c:pt>
                <c:pt idx="3">
                  <c:v>Poor</c:v>
                </c:pt>
              </c:strCache>
            </c:strRef>
          </c:cat>
          <c:val>
            <c:numRef>
              <c:f>Sheet2!$B$146:$B$149</c:f>
              <c:numCache>
                <c:formatCode>0</c:formatCode>
                <c:ptCount val="4"/>
                <c:pt idx="0">
                  <c:v>42.963032641672008</c:v>
                </c:pt>
                <c:pt idx="1">
                  <c:v>41.227261630960555</c:v>
                </c:pt>
                <c:pt idx="2">
                  <c:v>10.825712903039674</c:v>
                </c:pt>
                <c:pt idx="3">
                  <c:v>4.9839928243281504</c:v>
                </c:pt>
              </c:numCache>
            </c:numRef>
          </c:val>
        </c:ser>
        <c:dLbls>
          <c:showLegendKey val="0"/>
          <c:showVal val="0"/>
          <c:showCatName val="0"/>
          <c:showSerName val="0"/>
          <c:showPercent val="0"/>
          <c:showBubbleSize val="0"/>
        </c:dLbls>
        <c:gapWidth val="150"/>
        <c:axId val="171332352"/>
        <c:axId val="171333888"/>
      </c:barChart>
      <c:catAx>
        <c:axId val="171332352"/>
        <c:scaling>
          <c:orientation val="minMax"/>
        </c:scaling>
        <c:delete val="0"/>
        <c:axPos val="b"/>
        <c:majorTickMark val="out"/>
        <c:minorTickMark val="none"/>
        <c:tickLblPos val="nextTo"/>
        <c:txPr>
          <a:bodyPr/>
          <a:lstStyle/>
          <a:p>
            <a:pPr>
              <a:defRPr sz="900"/>
            </a:pPr>
            <a:endParaRPr lang="en-US"/>
          </a:p>
        </c:txPr>
        <c:crossAx val="171333888"/>
        <c:crosses val="autoZero"/>
        <c:auto val="1"/>
        <c:lblAlgn val="ctr"/>
        <c:lblOffset val="100"/>
        <c:noMultiLvlLbl val="0"/>
      </c:catAx>
      <c:valAx>
        <c:axId val="171333888"/>
        <c:scaling>
          <c:orientation val="minMax"/>
          <c:max val="50"/>
        </c:scaling>
        <c:delete val="0"/>
        <c:axPos val="l"/>
        <c:title>
          <c:tx>
            <c:rich>
              <a:bodyPr rot="0" vert="horz"/>
              <a:lstStyle/>
              <a:p>
                <a:pPr>
                  <a:defRPr sz="900"/>
                </a:pPr>
                <a:r>
                  <a:rPr lang="en-US" sz="900"/>
                  <a:t>%</a:t>
                </a:r>
              </a:p>
            </c:rich>
          </c:tx>
          <c:layout>
            <c:manualLayout>
              <c:xMode val="edge"/>
              <c:yMode val="edge"/>
              <c:x val="1.5779597003170761E-3"/>
              <c:y val="0.44217348771967774"/>
            </c:manualLayout>
          </c:layout>
          <c:overlay val="0"/>
        </c:title>
        <c:numFmt formatCode="0" sourceLinked="1"/>
        <c:majorTickMark val="out"/>
        <c:minorTickMark val="none"/>
        <c:tickLblPos val="nextTo"/>
        <c:txPr>
          <a:bodyPr/>
          <a:lstStyle/>
          <a:p>
            <a:pPr>
              <a:defRPr sz="900"/>
            </a:pPr>
            <a:endParaRPr lang="en-US"/>
          </a:p>
        </c:txPr>
        <c:crossAx val="171332352"/>
        <c:crosses val="autoZero"/>
        <c:crossBetween val="between"/>
        <c:majorUnit val="10"/>
      </c:valAx>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Overall Rating of Care Received as Inpatient</a:t>
            </a:r>
          </a:p>
        </c:rich>
      </c:tx>
      <c:layout>
        <c:manualLayout>
          <c:xMode val="edge"/>
          <c:yMode val="edge"/>
          <c:x val="2.3158151742660228E-3"/>
          <c:y val="0"/>
        </c:manualLayout>
      </c:layout>
      <c:overlay val="0"/>
    </c:title>
    <c:autoTitleDeleted val="0"/>
    <c:plotArea>
      <c:layout>
        <c:manualLayout>
          <c:layoutTarget val="inner"/>
          <c:xMode val="edge"/>
          <c:yMode val="edge"/>
          <c:x val="9.4573982216980643E-2"/>
          <c:y val="0.15218240740740768"/>
          <c:w val="0.89482627446899565"/>
          <c:h val="0.67825879629629726"/>
        </c:manualLayout>
      </c:layout>
      <c:barChart>
        <c:barDir val="col"/>
        <c:grouping val="clustered"/>
        <c:varyColors val="0"/>
        <c:ser>
          <c:idx val="0"/>
          <c:order val="0"/>
          <c:tx>
            <c:strRef>
              <c:f>Sheet2!$B$2:$B$3</c:f>
              <c:strCache>
                <c:ptCount val="1"/>
                <c:pt idx="0">
                  <c:v>Overall</c:v>
                </c:pt>
              </c:strCache>
            </c:strRef>
          </c:tx>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Sheet2!$A$41:$A$44</c:f>
              <c:strCache>
                <c:ptCount val="4"/>
                <c:pt idx="0">
                  <c:v>Excellent</c:v>
                </c:pt>
                <c:pt idx="1">
                  <c:v>Good</c:v>
                </c:pt>
                <c:pt idx="2">
                  <c:v>Fair</c:v>
                </c:pt>
                <c:pt idx="3">
                  <c:v>Poor</c:v>
                </c:pt>
              </c:strCache>
            </c:strRef>
          </c:cat>
          <c:val>
            <c:numRef>
              <c:f>Sheet2!$B$41:$B$44</c:f>
              <c:numCache>
                <c:formatCode>0</c:formatCode>
                <c:ptCount val="4"/>
                <c:pt idx="0">
                  <c:v>51.97037622294296</c:v>
                </c:pt>
                <c:pt idx="1">
                  <c:v>35.70462305431132</c:v>
                </c:pt>
                <c:pt idx="2">
                  <c:v>8.4413078464537019</c:v>
                </c:pt>
                <c:pt idx="3">
                  <c:v>3.8836928762919491</c:v>
                </c:pt>
              </c:numCache>
            </c:numRef>
          </c:val>
        </c:ser>
        <c:dLbls>
          <c:showLegendKey val="0"/>
          <c:showVal val="0"/>
          <c:showCatName val="0"/>
          <c:showSerName val="0"/>
          <c:showPercent val="0"/>
          <c:showBubbleSize val="0"/>
        </c:dLbls>
        <c:gapWidth val="150"/>
        <c:axId val="171367040"/>
        <c:axId val="171393408"/>
      </c:barChart>
      <c:catAx>
        <c:axId val="171367040"/>
        <c:scaling>
          <c:orientation val="minMax"/>
        </c:scaling>
        <c:delete val="0"/>
        <c:axPos val="b"/>
        <c:majorTickMark val="out"/>
        <c:minorTickMark val="none"/>
        <c:tickLblPos val="nextTo"/>
        <c:txPr>
          <a:bodyPr/>
          <a:lstStyle/>
          <a:p>
            <a:pPr>
              <a:defRPr sz="900"/>
            </a:pPr>
            <a:endParaRPr lang="en-US"/>
          </a:p>
        </c:txPr>
        <c:crossAx val="171393408"/>
        <c:crosses val="autoZero"/>
        <c:auto val="1"/>
        <c:lblAlgn val="ctr"/>
        <c:lblOffset val="100"/>
        <c:noMultiLvlLbl val="0"/>
      </c:catAx>
      <c:valAx>
        <c:axId val="171393408"/>
        <c:scaling>
          <c:orientation val="minMax"/>
          <c:max val="60"/>
        </c:scaling>
        <c:delete val="0"/>
        <c:axPos val="l"/>
        <c:title>
          <c:tx>
            <c:rich>
              <a:bodyPr rot="0" vert="horz"/>
              <a:lstStyle/>
              <a:p>
                <a:pPr>
                  <a:defRPr sz="900"/>
                </a:pPr>
                <a:r>
                  <a:rPr lang="en-GB" sz="900"/>
                  <a:t>%</a:t>
                </a:r>
              </a:p>
            </c:rich>
          </c:tx>
          <c:layout>
            <c:manualLayout>
              <c:xMode val="edge"/>
              <c:yMode val="edge"/>
              <c:x val="1.5779597003170761E-3"/>
              <c:y val="0.44217348771967901"/>
            </c:manualLayout>
          </c:layout>
          <c:overlay val="0"/>
        </c:title>
        <c:numFmt formatCode="0" sourceLinked="1"/>
        <c:majorTickMark val="out"/>
        <c:minorTickMark val="none"/>
        <c:tickLblPos val="nextTo"/>
        <c:txPr>
          <a:bodyPr/>
          <a:lstStyle/>
          <a:p>
            <a:pPr>
              <a:defRPr sz="900"/>
            </a:pPr>
            <a:endParaRPr lang="en-US"/>
          </a:p>
        </c:txPr>
        <c:crossAx val="171367040"/>
        <c:crosses val="autoZero"/>
        <c:crossBetween val="between"/>
        <c:majorUnit val="20"/>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Outpatient</a:t>
            </a:r>
            <a:r>
              <a:rPr lang="en-GB" sz="1000" baseline="0"/>
              <a:t> Waiting Time from Referral to Admission</a:t>
            </a:r>
            <a:endParaRPr lang="en-GB" sz="1000"/>
          </a:p>
        </c:rich>
      </c:tx>
      <c:layout>
        <c:manualLayout>
          <c:xMode val="edge"/>
          <c:yMode val="edge"/>
          <c:x val="8.5168869309838421E-4"/>
          <c:y val="0"/>
        </c:manualLayout>
      </c:layout>
      <c:overlay val="0"/>
    </c:title>
    <c:autoTitleDeleted val="0"/>
    <c:plotArea>
      <c:layout>
        <c:manualLayout>
          <c:layoutTarget val="inner"/>
          <c:xMode val="edge"/>
          <c:yMode val="edge"/>
          <c:x val="0.10925832106224249"/>
          <c:y val="0.14108134920634921"/>
          <c:w val="0.86839456252574565"/>
          <c:h val="0.66947976190476177"/>
        </c:manualLayout>
      </c:layout>
      <c:barChart>
        <c:barDir val="col"/>
        <c:grouping val="clustered"/>
        <c:varyColors val="0"/>
        <c:ser>
          <c:idx val="0"/>
          <c:order val="0"/>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Sheet1!$A$150:$A$155</c:f>
              <c:strCache>
                <c:ptCount val="6"/>
                <c:pt idx="0">
                  <c:v>&lt; 1 month</c:v>
                </c:pt>
                <c:pt idx="1">
                  <c:v>1 month to 6 weeks</c:v>
                </c:pt>
                <c:pt idx="2">
                  <c:v>6 weeks to 3 months</c:v>
                </c:pt>
                <c:pt idx="3">
                  <c:v>3 to 5 months</c:v>
                </c:pt>
                <c:pt idx="4">
                  <c:v>5 to 12 months</c:v>
                </c:pt>
                <c:pt idx="5">
                  <c:v>Over 12 months</c:v>
                </c:pt>
              </c:strCache>
            </c:strRef>
          </c:cat>
          <c:val>
            <c:numRef>
              <c:f>Sheet1!$B$150:$B$155</c:f>
              <c:numCache>
                <c:formatCode>0</c:formatCode>
                <c:ptCount val="6"/>
                <c:pt idx="0">
                  <c:v>37.090590938709745</c:v>
                </c:pt>
                <c:pt idx="1">
                  <c:v>17.535156869935822</c:v>
                </c:pt>
                <c:pt idx="2">
                  <c:v>17.632161485155535</c:v>
                </c:pt>
                <c:pt idx="3">
                  <c:v>8.8129621146491068</c:v>
                </c:pt>
                <c:pt idx="4">
                  <c:v>11.591137953534371</c:v>
                </c:pt>
                <c:pt idx="5">
                  <c:v>2.8051180011372931</c:v>
                </c:pt>
              </c:numCache>
            </c:numRef>
          </c:val>
        </c:ser>
        <c:dLbls>
          <c:showLegendKey val="0"/>
          <c:showVal val="0"/>
          <c:showCatName val="0"/>
          <c:showSerName val="0"/>
          <c:showPercent val="0"/>
          <c:showBubbleSize val="0"/>
        </c:dLbls>
        <c:gapWidth val="150"/>
        <c:axId val="171430656"/>
        <c:axId val="171432192"/>
      </c:barChart>
      <c:catAx>
        <c:axId val="171430656"/>
        <c:scaling>
          <c:orientation val="minMax"/>
        </c:scaling>
        <c:delete val="0"/>
        <c:axPos val="b"/>
        <c:majorTickMark val="out"/>
        <c:minorTickMark val="none"/>
        <c:tickLblPos val="nextTo"/>
        <c:txPr>
          <a:bodyPr/>
          <a:lstStyle/>
          <a:p>
            <a:pPr>
              <a:defRPr sz="900"/>
            </a:pPr>
            <a:endParaRPr lang="en-US"/>
          </a:p>
        </c:txPr>
        <c:crossAx val="171432192"/>
        <c:crosses val="autoZero"/>
        <c:auto val="1"/>
        <c:lblAlgn val="ctr"/>
        <c:lblOffset val="100"/>
        <c:noMultiLvlLbl val="0"/>
      </c:catAx>
      <c:valAx>
        <c:axId val="171432192"/>
        <c:scaling>
          <c:orientation val="minMax"/>
          <c:max val="40"/>
        </c:scaling>
        <c:delete val="0"/>
        <c:axPos val="l"/>
        <c:title>
          <c:tx>
            <c:rich>
              <a:bodyPr rot="0" vert="horz"/>
              <a:lstStyle/>
              <a:p>
                <a:pPr>
                  <a:defRPr sz="900"/>
                </a:pPr>
                <a:r>
                  <a:rPr lang="en-GB" sz="900"/>
                  <a:t>%</a:t>
                </a:r>
              </a:p>
            </c:rich>
          </c:tx>
          <c:layout>
            <c:manualLayout>
              <c:xMode val="edge"/>
              <c:yMode val="edge"/>
              <c:x val="1.5780406303837603E-3"/>
              <c:y val="0.43041428571428658"/>
            </c:manualLayout>
          </c:layout>
          <c:overlay val="0"/>
        </c:title>
        <c:numFmt formatCode="0" sourceLinked="1"/>
        <c:majorTickMark val="out"/>
        <c:minorTickMark val="none"/>
        <c:tickLblPos val="nextTo"/>
        <c:txPr>
          <a:bodyPr/>
          <a:lstStyle/>
          <a:p>
            <a:pPr>
              <a:defRPr sz="900"/>
            </a:pPr>
            <a:endParaRPr lang="en-US"/>
          </a:p>
        </c:txPr>
        <c:crossAx val="171430656"/>
        <c:crosses val="autoZero"/>
        <c:crossBetween val="between"/>
        <c:majorUnit val="10"/>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5832106224249"/>
          <c:y val="6.8980555555555559E-2"/>
          <c:w val="0.86839456252574565"/>
          <c:h val="0.74170555555555673"/>
        </c:manualLayout>
      </c:layout>
      <c:barChart>
        <c:barDir val="col"/>
        <c:grouping val="clustered"/>
        <c:varyColors val="0"/>
        <c:ser>
          <c:idx val="0"/>
          <c:order val="0"/>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Sheet1!$A$160:$A$164</c:f>
              <c:strCache>
                <c:ptCount val="5"/>
                <c:pt idx="0">
                  <c:v>Strongly agree</c:v>
                </c:pt>
                <c:pt idx="1">
                  <c:v>Agree</c:v>
                </c:pt>
                <c:pt idx="2">
                  <c:v>Neither agree nor disagree</c:v>
                </c:pt>
                <c:pt idx="3">
                  <c:v>Disagree</c:v>
                </c:pt>
                <c:pt idx="4">
                  <c:v>Strongly disagree</c:v>
                </c:pt>
              </c:strCache>
            </c:strRef>
          </c:cat>
          <c:val>
            <c:numRef>
              <c:f>Sheet1!$B$160:$B$164</c:f>
              <c:numCache>
                <c:formatCode>0</c:formatCode>
                <c:ptCount val="5"/>
                <c:pt idx="0">
                  <c:v>21.533157220571081</c:v>
                </c:pt>
                <c:pt idx="1">
                  <c:v>40.602784995448395</c:v>
                </c:pt>
                <c:pt idx="2">
                  <c:v>24.653753262939677</c:v>
                </c:pt>
                <c:pt idx="3">
                  <c:v>9.3971738628758139</c:v>
                </c:pt>
                <c:pt idx="4">
                  <c:v>3.8131306581649778</c:v>
                </c:pt>
              </c:numCache>
            </c:numRef>
          </c:val>
        </c:ser>
        <c:dLbls>
          <c:showLegendKey val="0"/>
          <c:showVal val="0"/>
          <c:showCatName val="0"/>
          <c:showSerName val="0"/>
          <c:showPercent val="0"/>
          <c:showBubbleSize val="0"/>
        </c:dLbls>
        <c:gapWidth val="150"/>
        <c:axId val="171444864"/>
        <c:axId val="171454848"/>
      </c:barChart>
      <c:catAx>
        <c:axId val="171444864"/>
        <c:scaling>
          <c:orientation val="minMax"/>
        </c:scaling>
        <c:delete val="0"/>
        <c:axPos val="b"/>
        <c:majorTickMark val="out"/>
        <c:minorTickMark val="none"/>
        <c:tickLblPos val="nextTo"/>
        <c:txPr>
          <a:bodyPr/>
          <a:lstStyle/>
          <a:p>
            <a:pPr>
              <a:defRPr sz="900"/>
            </a:pPr>
            <a:endParaRPr lang="en-US"/>
          </a:p>
        </c:txPr>
        <c:crossAx val="171454848"/>
        <c:crosses val="autoZero"/>
        <c:auto val="1"/>
        <c:lblAlgn val="ctr"/>
        <c:lblOffset val="100"/>
        <c:noMultiLvlLbl val="0"/>
      </c:catAx>
      <c:valAx>
        <c:axId val="171454848"/>
        <c:scaling>
          <c:orientation val="minMax"/>
          <c:max val="50"/>
        </c:scaling>
        <c:delete val="0"/>
        <c:axPos val="l"/>
        <c:title>
          <c:tx>
            <c:rich>
              <a:bodyPr rot="0" vert="horz"/>
              <a:lstStyle/>
              <a:p>
                <a:pPr>
                  <a:defRPr sz="900"/>
                </a:pPr>
                <a:r>
                  <a:rPr lang="en-GB" sz="900"/>
                  <a:t>%</a:t>
                </a:r>
              </a:p>
            </c:rich>
          </c:tx>
          <c:layout>
            <c:manualLayout>
              <c:xMode val="edge"/>
              <c:yMode val="edge"/>
              <c:x val="1.5780406303837603E-3"/>
              <c:y val="0.38835277777777893"/>
            </c:manualLayout>
          </c:layout>
          <c:overlay val="0"/>
        </c:title>
        <c:numFmt formatCode="0" sourceLinked="1"/>
        <c:majorTickMark val="out"/>
        <c:minorTickMark val="none"/>
        <c:tickLblPos val="nextTo"/>
        <c:txPr>
          <a:bodyPr/>
          <a:lstStyle/>
          <a:p>
            <a:pPr>
              <a:defRPr sz="900"/>
            </a:pPr>
            <a:endParaRPr lang="en-US"/>
          </a:p>
        </c:txPr>
        <c:crossAx val="171444864"/>
        <c:crosses val="autoZero"/>
        <c:crossBetween val="between"/>
        <c:majorUnit val="10"/>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a:t>Reason for Attendance at A&amp;E</a:t>
            </a:r>
          </a:p>
        </c:rich>
      </c:tx>
      <c:layout>
        <c:manualLayout>
          <c:xMode val="edge"/>
          <c:yMode val="edge"/>
          <c:x val="3.1268791340950141E-3"/>
          <c:y val="0"/>
        </c:manualLayout>
      </c:layout>
      <c:overlay val="0"/>
    </c:title>
    <c:autoTitleDeleted val="0"/>
    <c:plotArea>
      <c:layout>
        <c:manualLayout>
          <c:layoutTarget val="inner"/>
          <c:xMode val="edge"/>
          <c:yMode val="edge"/>
          <c:x val="5.7452818397700313E-2"/>
          <c:y val="0.10578333333333342"/>
          <c:w val="0.47476268109658132"/>
          <c:h val="0.81469841269841525"/>
        </c:manualLayout>
      </c:layout>
      <c:pieChart>
        <c:varyColors val="1"/>
        <c:ser>
          <c:idx val="0"/>
          <c:order val="0"/>
          <c:spPr>
            <a:ln>
              <a:noFill/>
            </a:ln>
          </c:spPr>
          <c:dPt>
            <c:idx val="0"/>
            <c:bubble3D val="0"/>
            <c:spPr>
              <a:solidFill>
                <a:srgbClr val="6600CC"/>
              </a:solidFill>
              <a:ln>
                <a:noFill/>
              </a:ln>
            </c:spPr>
          </c:dPt>
          <c:dPt>
            <c:idx val="1"/>
            <c:bubble3D val="0"/>
            <c:spPr>
              <a:solidFill>
                <a:srgbClr val="CC99FF"/>
              </a:solidFill>
              <a:ln>
                <a:noFill/>
              </a:ln>
            </c:spPr>
          </c:dPt>
          <c:dPt>
            <c:idx val="2"/>
            <c:bubble3D val="0"/>
            <c:spPr>
              <a:solidFill>
                <a:srgbClr val="4F009E"/>
              </a:solidFill>
              <a:ln>
                <a:noFill/>
              </a:ln>
            </c:spPr>
          </c:dPt>
          <c:dPt>
            <c:idx val="3"/>
            <c:bubble3D val="0"/>
            <c:spPr>
              <a:solidFill>
                <a:srgbClr val="CCCCFF"/>
              </a:solidFill>
              <a:ln>
                <a:noFill/>
              </a:ln>
            </c:spPr>
          </c:dPt>
          <c:dPt>
            <c:idx val="4"/>
            <c:bubble3D val="0"/>
            <c:spPr>
              <a:solidFill>
                <a:srgbClr val="9999FF"/>
              </a:solidFill>
              <a:ln>
                <a:noFill/>
              </a:ln>
            </c:spPr>
          </c:dPt>
          <c:dLbls>
            <c:txPr>
              <a:bodyPr/>
              <a:lstStyle/>
              <a:p>
                <a:pPr>
                  <a:defRPr sz="900"/>
                </a:pPr>
                <a:endParaRPr lang="en-US"/>
              </a:p>
            </c:txPr>
            <c:dLblPos val="outEnd"/>
            <c:showLegendKey val="0"/>
            <c:showVal val="1"/>
            <c:showCatName val="0"/>
            <c:showSerName val="0"/>
            <c:showPercent val="0"/>
            <c:showBubbleSize val="0"/>
            <c:showLeaderLines val="1"/>
          </c:dLbls>
          <c:cat>
            <c:strRef>
              <c:f>Sheet1!$A$13:$A$17</c:f>
              <c:strCache>
                <c:ptCount val="5"/>
                <c:pt idx="0">
                  <c:v>Accidental injury</c:v>
                </c:pt>
                <c:pt idx="1">
                  <c:v>Heart problem / Angina / Stroke / Chest pains</c:v>
                </c:pt>
                <c:pt idx="2">
                  <c:v>Pain</c:v>
                </c:pt>
                <c:pt idx="3">
                  <c:v>Infection</c:v>
                </c:pt>
                <c:pt idx="4">
                  <c:v>Other problem</c:v>
                </c:pt>
              </c:strCache>
            </c:strRef>
          </c:cat>
          <c:val>
            <c:numRef>
              <c:f>Sheet1!$B$13:$B$17</c:f>
              <c:numCache>
                <c:formatCode>0</c:formatCode>
                <c:ptCount val="5"/>
                <c:pt idx="0">
                  <c:v>48.41653262256601</c:v>
                </c:pt>
                <c:pt idx="1">
                  <c:v>9.6861221030482376</c:v>
                </c:pt>
                <c:pt idx="2">
                  <c:v>9.3821033876520854</c:v>
                </c:pt>
                <c:pt idx="3">
                  <c:v>4.8521954794626465</c:v>
                </c:pt>
                <c:pt idx="4">
                  <c:v>27.663046407271459</c:v>
                </c:pt>
              </c:numCache>
            </c:numRef>
          </c:val>
        </c:ser>
        <c:dLbls>
          <c:showLegendKey val="0"/>
          <c:showVal val="1"/>
          <c:showCatName val="0"/>
          <c:showSerName val="0"/>
          <c:showPercent val="0"/>
          <c:showBubbleSize val="0"/>
          <c:showLeaderLines val="1"/>
        </c:dLbls>
        <c:firstSliceAng val="0"/>
      </c:pieChart>
      <c:spPr>
        <a:ln>
          <a:solidFill>
            <a:sysClr val="window" lastClr="FFFFFF"/>
          </a:solidFill>
        </a:ln>
      </c:spPr>
    </c:plotArea>
    <c:legend>
      <c:legendPos val="r"/>
      <c:layout>
        <c:manualLayout>
          <c:xMode val="edge"/>
          <c:yMode val="edge"/>
          <c:x val="0.6222197555702017"/>
          <c:y val="8.7906349206349224E-2"/>
          <c:w val="0.3735451570756298"/>
          <c:h val="0.86196071428571464"/>
        </c:manualLayout>
      </c:layout>
      <c:overlay val="0"/>
      <c:txPr>
        <a:bodyPr/>
        <a:lstStyle/>
        <a:p>
          <a:pPr>
            <a:defRPr sz="900"/>
          </a:pPr>
          <a:endParaRPr lang="en-US"/>
        </a:p>
      </c:txPr>
    </c:legend>
    <c:plotVisOnly val="1"/>
    <c:dispBlanksAs val="gap"/>
    <c:showDLblsOverMax val="0"/>
  </c:chart>
  <c:spPr>
    <a:ln w="0">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Length of Visit to A&amp;E</a:t>
            </a:r>
          </a:p>
        </c:rich>
      </c:tx>
      <c:layout>
        <c:manualLayout>
          <c:xMode val="edge"/>
          <c:yMode val="edge"/>
          <c:x val="2.3158151742660228E-3"/>
          <c:y val="0"/>
        </c:manualLayout>
      </c:layout>
      <c:overlay val="0"/>
    </c:title>
    <c:autoTitleDeleted val="0"/>
    <c:plotArea>
      <c:layout>
        <c:manualLayout>
          <c:layoutTarget val="inner"/>
          <c:xMode val="edge"/>
          <c:yMode val="edge"/>
          <c:x val="9.7510839779388847E-2"/>
          <c:y val="0.1358928571428572"/>
          <c:w val="0.88601570178177058"/>
          <c:h val="0.74092658730158811"/>
        </c:manualLayout>
      </c:layout>
      <c:barChart>
        <c:barDir val="col"/>
        <c:grouping val="clustered"/>
        <c:varyColors val="0"/>
        <c:ser>
          <c:idx val="0"/>
          <c:order val="0"/>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Sheet1!$A$32:$A$36</c:f>
              <c:strCache>
                <c:ptCount val="5"/>
                <c:pt idx="0">
                  <c:v>&lt;1 hour</c:v>
                </c:pt>
                <c:pt idx="1">
                  <c:v>1-4 hours</c:v>
                </c:pt>
                <c:pt idx="2">
                  <c:v>4-8 hours</c:v>
                </c:pt>
                <c:pt idx="3">
                  <c:v>8-12 hours</c:v>
                </c:pt>
                <c:pt idx="4">
                  <c:v>&gt;12 hours</c:v>
                </c:pt>
              </c:strCache>
            </c:strRef>
          </c:cat>
          <c:val>
            <c:numRef>
              <c:f>Sheet1!$B$32:$B$36</c:f>
              <c:numCache>
                <c:formatCode>0</c:formatCode>
                <c:ptCount val="5"/>
                <c:pt idx="0">
                  <c:v>21.39047474500979</c:v>
                </c:pt>
                <c:pt idx="1">
                  <c:v>42.122823870124293</c:v>
                </c:pt>
                <c:pt idx="2">
                  <c:v>26.810729044600571</c:v>
                </c:pt>
                <c:pt idx="3">
                  <c:v>5.3476288515095698</c:v>
                </c:pt>
                <c:pt idx="4">
                  <c:v>3.4415775052485316</c:v>
                </c:pt>
              </c:numCache>
            </c:numRef>
          </c:val>
        </c:ser>
        <c:dLbls>
          <c:showLegendKey val="0"/>
          <c:showVal val="0"/>
          <c:showCatName val="0"/>
          <c:showSerName val="0"/>
          <c:showPercent val="0"/>
          <c:showBubbleSize val="0"/>
        </c:dLbls>
        <c:gapWidth val="150"/>
        <c:axId val="171668608"/>
        <c:axId val="171670144"/>
      </c:barChart>
      <c:catAx>
        <c:axId val="171668608"/>
        <c:scaling>
          <c:orientation val="minMax"/>
        </c:scaling>
        <c:delete val="0"/>
        <c:axPos val="b"/>
        <c:majorTickMark val="out"/>
        <c:minorTickMark val="none"/>
        <c:tickLblPos val="nextTo"/>
        <c:txPr>
          <a:bodyPr/>
          <a:lstStyle/>
          <a:p>
            <a:pPr>
              <a:defRPr sz="900"/>
            </a:pPr>
            <a:endParaRPr lang="en-US"/>
          </a:p>
        </c:txPr>
        <c:crossAx val="171670144"/>
        <c:crosses val="autoZero"/>
        <c:auto val="1"/>
        <c:lblAlgn val="ctr"/>
        <c:lblOffset val="100"/>
        <c:noMultiLvlLbl val="0"/>
      </c:catAx>
      <c:valAx>
        <c:axId val="171670144"/>
        <c:scaling>
          <c:orientation val="minMax"/>
          <c:max val="50"/>
        </c:scaling>
        <c:delete val="0"/>
        <c:axPos val="l"/>
        <c:title>
          <c:tx>
            <c:rich>
              <a:bodyPr rot="0" vert="horz"/>
              <a:lstStyle/>
              <a:p>
                <a:pPr>
                  <a:defRPr sz="900"/>
                </a:pPr>
                <a:r>
                  <a:rPr lang="en-US" sz="900"/>
                  <a:t>%</a:t>
                </a:r>
              </a:p>
            </c:rich>
          </c:tx>
          <c:layout>
            <c:manualLayout>
              <c:xMode val="edge"/>
              <c:yMode val="edge"/>
              <c:x val="1.5779597003170761E-3"/>
              <c:y val="0.44217348771967896"/>
            </c:manualLayout>
          </c:layout>
          <c:overlay val="0"/>
        </c:title>
        <c:numFmt formatCode="0" sourceLinked="1"/>
        <c:majorTickMark val="out"/>
        <c:minorTickMark val="none"/>
        <c:tickLblPos val="nextTo"/>
        <c:txPr>
          <a:bodyPr/>
          <a:lstStyle/>
          <a:p>
            <a:pPr>
              <a:defRPr sz="900"/>
            </a:pPr>
            <a:endParaRPr lang="en-US"/>
          </a:p>
        </c:txPr>
        <c:crossAx val="171668608"/>
        <c:crosses val="autoZero"/>
        <c:crossBetween val="between"/>
        <c:majorUnit val="10"/>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5832106224249"/>
          <c:y val="7.6819841269841274E-2"/>
          <c:w val="0.86839456252574565"/>
          <c:h val="0.78334126984126873"/>
        </c:manualLayout>
      </c:layout>
      <c:barChart>
        <c:barDir val="col"/>
        <c:grouping val="clustered"/>
        <c:varyColors val="0"/>
        <c:ser>
          <c:idx val="0"/>
          <c:order val="0"/>
          <c:spPr>
            <a:solidFill>
              <a:srgbClr val="6600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Sheet1!$Q$39:$W$39</c:f>
              <c:numCache>
                <c:formatCode>0</c:formatCode>
                <c:ptCount val="7"/>
                <c:pt idx="0">
                  <c:v>11.315025650089074</c:v>
                </c:pt>
                <c:pt idx="1">
                  <c:v>17.219211620928817</c:v>
                </c:pt>
                <c:pt idx="2">
                  <c:v>15.273364068041619</c:v>
                </c:pt>
                <c:pt idx="3">
                  <c:v>22.112632565467216</c:v>
                </c:pt>
                <c:pt idx="4">
                  <c:v>27.34692551464823</c:v>
                </c:pt>
                <c:pt idx="5">
                  <c:v>36.952000004743745</c:v>
                </c:pt>
                <c:pt idx="6">
                  <c:v>47.07348609576794</c:v>
                </c:pt>
              </c:numCache>
            </c:numRef>
          </c:val>
        </c:ser>
        <c:dLbls>
          <c:showLegendKey val="0"/>
          <c:showVal val="0"/>
          <c:showCatName val="0"/>
          <c:showSerName val="0"/>
          <c:showPercent val="0"/>
          <c:showBubbleSize val="0"/>
        </c:dLbls>
        <c:gapWidth val="150"/>
        <c:axId val="171703296"/>
        <c:axId val="171717376"/>
      </c:barChart>
      <c:catAx>
        <c:axId val="171703296"/>
        <c:scaling>
          <c:orientation val="minMax"/>
        </c:scaling>
        <c:delete val="0"/>
        <c:axPos val="b"/>
        <c:majorTickMark val="out"/>
        <c:minorTickMark val="none"/>
        <c:tickLblPos val="nextTo"/>
        <c:txPr>
          <a:bodyPr/>
          <a:lstStyle/>
          <a:p>
            <a:pPr>
              <a:defRPr sz="900"/>
            </a:pPr>
            <a:endParaRPr lang="en-US"/>
          </a:p>
        </c:txPr>
        <c:crossAx val="171717376"/>
        <c:crosses val="autoZero"/>
        <c:auto val="1"/>
        <c:lblAlgn val="ctr"/>
        <c:lblOffset val="100"/>
        <c:noMultiLvlLbl val="0"/>
      </c:catAx>
      <c:valAx>
        <c:axId val="171717376"/>
        <c:scaling>
          <c:orientation val="minMax"/>
          <c:max val="50"/>
        </c:scaling>
        <c:delete val="0"/>
        <c:axPos val="l"/>
        <c:title>
          <c:tx>
            <c:rich>
              <a:bodyPr rot="0" vert="horz"/>
              <a:lstStyle/>
              <a:p>
                <a:pPr>
                  <a:defRPr sz="900"/>
                </a:pPr>
                <a:r>
                  <a:rPr lang="en-GB" sz="900"/>
                  <a:t>%</a:t>
                </a:r>
              </a:p>
            </c:rich>
          </c:tx>
          <c:layout>
            <c:manualLayout>
              <c:xMode val="edge"/>
              <c:yMode val="edge"/>
              <c:x val="1.5779597003170761E-3"/>
              <c:y val="0.4421734877196789"/>
            </c:manualLayout>
          </c:layout>
          <c:overlay val="0"/>
        </c:title>
        <c:numFmt formatCode="0" sourceLinked="1"/>
        <c:majorTickMark val="out"/>
        <c:minorTickMark val="none"/>
        <c:tickLblPos val="nextTo"/>
        <c:txPr>
          <a:bodyPr/>
          <a:lstStyle/>
          <a:p>
            <a:pPr>
              <a:defRPr sz="900"/>
            </a:pPr>
            <a:endParaRPr lang="en-US"/>
          </a:p>
        </c:txPr>
        <c:crossAx val="171703296"/>
        <c:crosses val="autoZero"/>
        <c:crossBetween val="between"/>
        <c:majorUnit val="10"/>
      </c:valAx>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Ease of getting through on the telephone</a:t>
            </a:r>
          </a:p>
        </c:rich>
      </c:tx>
      <c:layout>
        <c:manualLayout>
          <c:xMode val="edge"/>
          <c:yMode val="edge"/>
          <c:x val="2.3158355205599311E-3"/>
          <c:y val="0"/>
        </c:manualLayout>
      </c:layout>
      <c:overlay val="0"/>
    </c:title>
    <c:autoTitleDeleted val="0"/>
    <c:plotArea>
      <c:layout>
        <c:manualLayout>
          <c:layoutTarget val="inner"/>
          <c:xMode val="edge"/>
          <c:yMode val="edge"/>
          <c:x val="8.9895359996300231E-2"/>
          <c:y val="0.13416794871794871"/>
          <c:w val="0.8918410859435526"/>
          <c:h val="0.67951324786324752"/>
        </c:manualLayout>
      </c:layout>
      <c:barChart>
        <c:barDir val="col"/>
        <c:grouping val="clustered"/>
        <c:varyColors val="0"/>
        <c:ser>
          <c:idx val="0"/>
          <c:order val="0"/>
          <c:spPr>
            <a:solidFill>
              <a:srgbClr val="CC33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Sheet2!$A$127:$A$131</c:f>
              <c:strCache>
                <c:ptCount val="5"/>
                <c:pt idx="0">
                  <c:v>Very easy</c:v>
                </c:pt>
                <c:pt idx="1">
                  <c:v>Fairly easy</c:v>
                </c:pt>
                <c:pt idx="2">
                  <c:v>Not very easy</c:v>
                </c:pt>
                <c:pt idx="3">
                  <c:v>Not at all easy</c:v>
                </c:pt>
                <c:pt idx="4">
                  <c:v>Don't know / Have not tried</c:v>
                </c:pt>
              </c:strCache>
            </c:strRef>
          </c:cat>
          <c:val>
            <c:numRef>
              <c:f>Sheet2!$B$127:$B$131</c:f>
              <c:numCache>
                <c:formatCode>0</c:formatCode>
                <c:ptCount val="5"/>
                <c:pt idx="0">
                  <c:v>25.821605337314633</c:v>
                </c:pt>
                <c:pt idx="1">
                  <c:v>24.998870008016731</c:v>
                </c:pt>
                <c:pt idx="2">
                  <c:v>13.438918687546048</c:v>
                </c:pt>
                <c:pt idx="3">
                  <c:v>11.851700877952336</c:v>
                </c:pt>
                <c:pt idx="4">
                  <c:v>23.888905089170187</c:v>
                </c:pt>
              </c:numCache>
            </c:numRef>
          </c:val>
        </c:ser>
        <c:dLbls>
          <c:showLegendKey val="0"/>
          <c:showVal val="0"/>
          <c:showCatName val="0"/>
          <c:showSerName val="0"/>
          <c:showPercent val="0"/>
          <c:showBubbleSize val="0"/>
        </c:dLbls>
        <c:gapWidth val="150"/>
        <c:axId val="171758336"/>
        <c:axId val="171759872"/>
      </c:barChart>
      <c:catAx>
        <c:axId val="171758336"/>
        <c:scaling>
          <c:orientation val="minMax"/>
        </c:scaling>
        <c:delete val="0"/>
        <c:axPos val="b"/>
        <c:majorTickMark val="out"/>
        <c:minorTickMark val="none"/>
        <c:tickLblPos val="nextTo"/>
        <c:txPr>
          <a:bodyPr/>
          <a:lstStyle/>
          <a:p>
            <a:pPr>
              <a:defRPr sz="900"/>
            </a:pPr>
            <a:endParaRPr lang="en-US"/>
          </a:p>
        </c:txPr>
        <c:crossAx val="171759872"/>
        <c:crosses val="autoZero"/>
        <c:auto val="1"/>
        <c:lblAlgn val="ctr"/>
        <c:lblOffset val="100"/>
        <c:noMultiLvlLbl val="0"/>
      </c:catAx>
      <c:valAx>
        <c:axId val="171759872"/>
        <c:scaling>
          <c:orientation val="minMax"/>
          <c:max val="30"/>
        </c:scaling>
        <c:delete val="0"/>
        <c:axPos val="l"/>
        <c:title>
          <c:tx>
            <c:rich>
              <a:bodyPr rot="0" vert="horz"/>
              <a:lstStyle/>
              <a:p>
                <a:pPr>
                  <a:defRPr sz="900"/>
                </a:pPr>
                <a:r>
                  <a:rPr lang="en-US" sz="900"/>
                  <a:t>%</a:t>
                </a:r>
              </a:p>
            </c:rich>
          </c:tx>
          <c:layout>
            <c:manualLayout>
              <c:xMode val="edge"/>
              <c:yMode val="edge"/>
              <c:x val="1.5780406303837603E-3"/>
              <c:y val="0.43214102564102524"/>
            </c:manualLayout>
          </c:layout>
          <c:overlay val="0"/>
        </c:title>
        <c:numFmt formatCode="0" sourceLinked="1"/>
        <c:majorTickMark val="out"/>
        <c:minorTickMark val="none"/>
        <c:tickLblPos val="nextTo"/>
        <c:txPr>
          <a:bodyPr/>
          <a:lstStyle/>
          <a:p>
            <a:pPr>
              <a:defRPr sz="900"/>
            </a:pPr>
            <a:endParaRPr lang="en-US"/>
          </a:p>
        </c:txPr>
        <c:crossAx val="171758336"/>
        <c:crosses val="autoZero"/>
        <c:crossBetween val="between"/>
        <c:majorUnit val="10"/>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Health in General by Trust</a:t>
            </a:r>
          </a:p>
        </c:rich>
      </c:tx>
      <c:layout>
        <c:manualLayout>
          <c:xMode val="edge"/>
          <c:yMode val="edge"/>
          <c:x val="1.1224694327520621E-3"/>
          <c:y val="0"/>
        </c:manualLayout>
      </c:layout>
      <c:overlay val="0"/>
    </c:title>
    <c:autoTitleDeleted val="0"/>
    <c:plotArea>
      <c:layout>
        <c:manualLayout>
          <c:layoutTarget val="inner"/>
          <c:xMode val="edge"/>
          <c:yMode val="edge"/>
          <c:x val="0.10973051791949442"/>
          <c:y val="0.12180666666666666"/>
          <c:w val="0.88773340269403433"/>
          <c:h val="0.688748148148149"/>
        </c:manualLayout>
      </c:layout>
      <c:barChart>
        <c:barDir val="col"/>
        <c:grouping val="stacked"/>
        <c:varyColors val="0"/>
        <c:ser>
          <c:idx val="0"/>
          <c:order val="0"/>
          <c:tx>
            <c:strRef>
              <c:f>'General Health'!$A$34</c:f>
              <c:strCache>
                <c:ptCount val="1"/>
                <c:pt idx="0">
                  <c:v>Very 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Health'!$G$33:$K$33</c:f>
              <c:strCache>
                <c:ptCount val="5"/>
                <c:pt idx="0">
                  <c:v>Belfast</c:v>
                </c:pt>
                <c:pt idx="1">
                  <c:v>Northern</c:v>
                </c:pt>
                <c:pt idx="2">
                  <c:v>South Eastern</c:v>
                </c:pt>
                <c:pt idx="3">
                  <c:v>Southern</c:v>
                </c:pt>
                <c:pt idx="4">
                  <c:v>Western</c:v>
                </c:pt>
              </c:strCache>
            </c:strRef>
          </c:cat>
          <c:val>
            <c:numRef>
              <c:f>'General Health'!$G$34:$K$34</c:f>
              <c:numCache>
                <c:formatCode>0</c:formatCode>
                <c:ptCount val="5"/>
                <c:pt idx="0">
                  <c:v>29.975284811220853</c:v>
                </c:pt>
                <c:pt idx="1">
                  <c:v>28.049127453120963</c:v>
                </c:pt>
                <c:pt idx="2">
                  <c:v>37.700591178728963</c:v>
                </c:pt>
                <c:pt idx="3">
                  <c:v>34.986704722533865</c:v>
                </c:pt>
                <c:pt idx="4">
                  <c:v>30.853419917148127</c:v>
                </c:pt>
              </c:numCache>
            </c:numRef>
          </c:val>
        </c:ser>
        <c:ser>
          <c:idx val="1"/>
          <c:order val="1"/>
          <c:tx>
            <c:strRef>
              <c:f>'General Health'!$A$35</c:f>
              <c:strCache>
                <c:ptCount val="1"/>
                <c:pt idx="0">
                  <c:v>Good</c:v>
                </c:pt>
              </c:strCache>
            </c:strRef>
          </c:tx>
          <c:spPr>
            <a:solidFill>
              <a:srgbClr val="4F81BD"/>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Health'!$G$33:$K$33</c:f>
              <c:strCache>
                <c:ptCount val="5"/>
                <c:pt idx="0">
                  <c:v>Belfast</c:v>
                </c:pt>
                <c:pt idx="1">
                  <c:v>Northern</c:v>
                </c:pt>
                <c:pt idx="2">
                  <c:v>South Eastern</c:v>
                </c:pt>
                <c:pt idx="3">
                  <c:v>Southern</c:v>
                </c:pt>
                <c:pt idx="4">
                  <c:v>Western</c:v>
                </c:pt>
              </c:strCache>
            </c:strRef>
          </c:cat>
          <c:val>
            <c:numRef>
              <c:f>'General Health'!$G$35:$K$35</c:f>
              <c:numCache>
                <c:formatCode>0</c:formatCode>
                <c:ptCount val="5"/>
                <c:pt idx="0">
                  <c:v>38.725304244922285</c:v>
                </c:pt>
                <c:pt idx="1">
                  <c:v>44.500874373256003</c:v>
                </c:pt>
                <c:pt idx="2">
                  <c:v>38.677281379473904</c:v>
                </c:pt>
                <c:pt idx="3">
                  <c:v>38.065705256911563</c:v>
                </c:pt>
                <c:pt idx="4">
                  <c:v>38.856987865066657</c:v>
                </c:pt>
              </c:numCache>
            </c:numRef>
          </c:val>
        </c:ser>
        <c:ser>
          <c:idx val="2"/>
          <c:order val="2"/>
          <c:tx>
            <c:strRef>
              <c:f>'General Health'!$A$36</c:f>
              <c:strCache>
                <c:ptCount val="1"/>
                <c:pt idx="0">
                  <c:v>Fair</c:v>
                </c:pt>
              </c:strCache>
            </c:strRef>
          </c:tx>
          <c:spPr>
            <a:solidFill>
              <a:srgbClr val="4F81BD">
                <a:lumMod val="60000"/>
                <a:lumOff val="4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'General Health'!$G$33:$K$33</c:f>
              <c:strCache>
                <c:ptCount val="5"/>
                <c:pt idx="0">
                  <c:v>Belfast</c:v>
                </c:pt>
                <c:pt idx="1">
                  <c:v>Northern</c:v>
                </c:pt>
                <c:pt idx="2">
                  <c:v>South Eastern</c:v>
                </c:pt>
                <c:pt idx="3">
                  <c:v>Southern</c:v>
                </c:pt>
                <c:pt idx="4">
                  <c:v>Western</c:v>
                </c:pt>
              </c:strCache>
            </c:strRef>
          </c:cat>
          <c:val>
            <c:numRef>
              <c:f>'General Health'!$G$36:$K$36</c:f>
              <c:numCache>
                <c:formatCode>0</c:formatCode>
                <c:ptCount val="5"/>
                <c:pt idx="0">
                  <c:v>17.372631253736429</c:v>
                </c:pt>
                <c:pt idx="1">
                  <c:v>20.03249102819483</c:v>
                </c:pt>
                <c:pt idx="2">
                  <c:v>16.495385965548511</c:v>
                </c:pt>
                <c:pt idx="3">
                  <c:v>18.662717402472989</c:v>
                </c:pt>
                <c:pt idx="4">
                  <c:v>21.140599936824788</c:v>
                </c:pt>
              </c:numCache>
            </c:numRef>
          </c:val>
        </c:ser>
        <c:ser>
          <c:idx val="3"/>
          <c:order val="3"/>
          <c:tx>
            <c:strRef>
              <c:f>'General Health'!$A$37</c:f>
              <c:strCache>
                <c:ptCount val="1"/>
                <c:pt idx="0">
                  <c:v>Bad / Very Bad</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'General Health'!$G$33:$K$33</c:f>
              <c:strCache>
                <c:ptCount val="5"/>
                <c:pt idx="0">
                  <c:v>Belfast</c:v>
                </c:pt>
                <c:pt idx="1">
                  <c:v>Northern</c:v>
                </c:pt>
                <c:pt idx="2">
                  <c:v>South Eastern</c:v>
                </c:pt>
                <c:pt idx="3">
                  <c:v>Southern</c:v>
                </c:pt>
                <c:pt idx="4">
                  <c:v>Western</c:v>
                </c:pt>
              </c:strCache>
            </c:strRef>
          </c:cat>
          <c:val>
            <c:numRef>
              <c:f>'General Health'!$G$37:$K$37</c:f>
              <c:numCache>
                <c:formatCode>0</c:formatCode>
                <c:ptCount val="5"/>
                <c:pt idx="0">
                  <c:v>13.926779690121432</c:v>
                </c:pt>
                <c:pt idx="1">
                  <c:v>7.4175071454270753</c:v>
                </c:pt>
                <c:pt idx="2">
                  <c:v>7.1267414762489745</c:v>
                </c:pt>
                <c:pt idx="3">
                  <c:v>8.2848726180818879</c:v>
                </c:pt>
                <c:pt idx="4">
                  <c:v>9.1489922809592983</c:v>
                </c:pt>
              </c:numCache>
            </c:numRef>
          </c:val>
        </c:ser>
        <c:dLbls>
          <c:showLegendKey val="0"/>
          <c:showVal val="1"/>
          <c:showCatName val="0"/>
          <c:showSerName val="0"/>
          <c:showPercent val="0"/>
          <c:showBubbleSize val="0"/>
        </c:dLbls>
        <c:gapWidth val="70"/>
        <c:overlap val="100"/>
        <c:axId val="109572864"/>
        <c:axId val="109574400"/>
      </c:barChart>
      <c:catAx>
        <c:axId val="109572864"/>
        <c:scaling>
          <c:orientation val="minMax"/>
        </c:scaling>
        <c:delete val="0"/>
        <c:axPos val="b"/>
        <c:majorTickMark val="out"/>
        <c:minorTickMark val="none"/>
        <c:tickLblPos val="nextTo"/>
        <c:txPr>
          <a:bodyPr/>
          <a:lstStyle/>
          <a:p>
            <a:pPr>
              <a:defRPr sz="900"/>
            </a:pPr>
            <a:endParaRPr lang="en-US"/>
          </a:p>
        </c:txPr>
        <c:crossAx val="109574400"/>
        <c:crosses val="autoZero"/>
        <c:auto val="1"/>
        <c:lblAlgn val="ctr"/>
        <c:lblOffset val="100"/>
        <c:noMultiLvlLbl val="0"/>
      </c:catAx>
      <c:valAx>
        <c:axId val="10957440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09572864"/>
        <c:crosses val="autoZero"/>
        <c:crossBetween val="between"/>
        <c:majorUnit val="20"/>
      </c:valAx>
    </c:plotArea>
    <c:legend>
      <c:legendPos val="b"/>
      <c:layout>
        <c:manualLayout>
          <c:xMode val="edge"/>
          <c:yMode val="edge"/>
          <c:x val="0"/>
          <c:y val="0.92467013888889893"/>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Last time respondent saw GP / Healthcare Professional</a:t>
            </a:r>
          </a:p>
        </c:rich>
      </c:tx>
      <c:layout>
        <c:manualLayout>
          <c:xMode val="edge"/>
          <c:yMode val="edge"/>
          <c:x val="5.9477146854440587E-4"/>
          <c:y val="0"/>
        </c:manualLayout>
      </c:layout>
      <c:overlay val="0"/>
    </c:title>
    <c:autoTitleDeleted val="0"/>
    <c:plotArea>
      <c:layout>
        <c:manualLayout>
          <c:layoutTarget val="inner"/>
          <c:xMode val="edge"/>
          <c:yMode val="edge"/>
          <c:x val="0.10044769734179694"/>
          <c:y val="0.13663888888888889"/>
          <c:w val="0.89955230265820252"/>
          <c:h val="0.70099572649572772"/>
        </c:manualLayout>
      </c:layout>
      <c:barChart>
        <c:barDir val="col"/>
        <c:grouping val="clustered"/>
        <c:varyColors val="0"/>
        <c:ser>
          <c:idx val="0"/>
          <c:order val="0"/>
          <c:spPr>
            <a:solidFill>
              <a:srgbClr val="CC33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Sheet2!$A$136:$A$139</c:f>
              <c:strCache>
                <c:ptCount val="4"/>
                <c:pt idx="0">
                  <c:v>Within last 3 months</c:v>
                </c:pt>
                <c:pt idx="1">
                  <c:v>Between 3 and 6 months ago</c:v>
                </c:pt>
                <c:pt idx="2">
                  <c:v>More than 6 months ago</c:v>
                </c:pt>
                <c:pt idx="3">
                  <c:v>Never </c:v>
                </c:pt>
              </c:strCache>
            </c:strRef>
          </c:cat>
          <c:val>
            <c:numRef>
              <c:f>Sheet2!$B$136:$B$139</c:f>
              <c:numCache>
                <c:formatCode>0</c:formatCode>
                <c:ptCount val="4"/>
                <c:pt idx="0">
                  <c:v>45.220485545358883</c:v>
                </c:pt>
                <c:pt idx="1">
                  <c:v>17.392574221501089</c:v>
                </c:pt>
                <c:pt idx="2">
                  <c:v>36.453813211913044</c:v>
                </c:pt>
                <c:pt idx="3">
                  <c:v>0.93312702122686597</c:v>
                </c:pt>
              </c:numCache>
            </c:numRef>
          </c:val>
        </c:ser>
        <c:dLbls>
          <c:showLegendKey val="0"/>
          <c:showVal val="0"/>
          <c:showCatName val="0"/>
          <c:showSerName val="0"/>
          <c:showPercent val="0"/>
          <c:showBubbleSize val="0"/>
        </c:dLbls>
        <c:gapWidth val="150"/>
        <c:axId val="171690624"/>
        <c:axId val="171794816"/>
      </c:barChart>
      <c:catAx>
        <c:axId val="171690624"/>
        <c:scaling>
          <c:orientation val="minMax"/>
        </c:scaling>
        <c:delete val="0"/>
        <c:axPos val="b"/>
        <c:majorTickMark val="out"/>
        <c:minorTickMark val="none"/>
        <c:tickLblPos val="nextTo"/>
        <c:txPr>
          <a:bodyPr/>
          <a:lstStyle/>
          <a:p>
            <a:pPr>
              <a:defRPr sz="900"/>
            </a:pPr>
            <a:endParaRPr lang="en-US"/>
          </a:p>
        </c:txPr>
        <c:crossAx val="171794816"/>
        <c:crosses val="autoZero"/>
        <c:auto val="1"/>
        <c:lblAlgn val="ctr"/>
        <c:lblOffset val="100"/>
        <c:noMultiLvlLbl val="0"/>
      </c:catAx>
      <c:valAx>
        <c:axId val="171794816"/>
        <c:scaling>
          <c:orientation val="minMax"/>
          <c:max val="50"/>
        </c:scaling>
        <c:delete val="0"/>
        <c:axPos val="l"/>
        <c:title>
          <c:tx>
            <c:rich>
              <a:bodyPr rot="0" vert="horz"/>
              <a:lstStyle/>
              <a:p>
                <a:pPr>
                  <a:defRPr sz="900"/>
                </a:pPr>
                <a:r>
                  <a:rPr lang="en-US" sz="900"/>
                  <a:t>%</a:t>
                </a:r>
              </a:p>
            </c:rich>
          </c:tx>
          <c:layout>
            <c:manualLayout>
              <c:xMode val="edge"/>
              <c:yMode val="edge"/>
              <c:x val="1.5779597003170761E-3"/>
              <c:y val="0.4421734877196789"/>
            </c:manualLayout>
          </c:layout>
          <c:overlay val="0"/>
        </c:title>
        <c:numFmt formatCode="0" sourceLinked="1"/>
        <c:majorTickMark val="out"/>
        <c:minorTickMark val="none"/>
        <c:tickLblPos val="nextTo"/>
        <c:txPr>
          <a:bodyPr/>
          <a:lstStyle/>
          <a:p>
            <a:pPr>
              <a:defRPr sz="900"/>
            </a:pPr>
            <a:endParaRPr lang="en-US"/>
          </a:p>
        </c:txPr>
        <c:crossAx val="171690624"/>
        <c:crosses val="autoZero"/>
        <c:crossBetween val="between"/>
        <c:majorUnit val="10"/>
      </c:valAx>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2222646178019E-2"/>
          <c:y val="6.1374999999999999E-2"/>
          <c:w val="0.9000231248626952"/>
          <c:h val="0.72348935185185159"/>
        </c:manualLayout>
      </c:layout>
      <c:barChart>
        <c:barDir val="col"/>
        <c:grouping val="clustered"/>
        <c:varyColors val="0"/>
        <c:ser>
          <c:idx val="0"/>
          <c:order val="0"/>
          <c:tx>
            <c:strRef>
              <c:f>Sheet1!$B$38</c:f>
              <c:strCache>
                <c:ptCount val="1"/>
                <c:pt idx="0">
                  <c:v>Excellent or good Rating</c:v>
                </c:pt>
              </c:strCache>
            </c:strRef>
          </c:tx>
          <c:spPr>
            <a:solidFill>
              <a:srgbClr val="CC3399"/>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Sheet1!$A$39:$A$41</c:f>
              <c:strCache>
                <c:ptCount val="3"/>
                <c:pt idx="0">
                  <c:v>Safety</c:v>
                </c:pt>
                <c:pt idx="1">
                  <c:v>Effectiveness</c:v>
                </c:pt>
                <c:pt idx="2">
                  <c:v>Patient Experience</c:v>
                </c:pt>
              </c:strCache>
            </c:strRef>
          </c:cat>
          <c:val>
            <c:numRef>
              <c:f>Sheet1!$B$39:$B$41</c:f>
              <c:numCache>
                <c:formatCode>0</c:formatCode>
                <c:ptCount val="3"/>
                <c:pt idx="0">
                  <c:v>81.961322917563649</c:v>
                </c:pt>
                <c:pt idx="1">
                  <c:v>78.006437994344182</c:v>
                </c:pt>
                <c:pt idx="2">
                  <c:v>79.191392734956437</c:v>
                </c:pt>
              </c:numCache>
            </c:numRef>
          </c:val>
        </c:ser>
        <c:dLbls>
          <c:showLegendKey val="0"/>
          <c:showVal val="1"/>
          <c:showCatName val="0"/>
          <c:showSerName val="0"/>
          <c:showPercent val="0"/>
          <c:showBubbleSize val="0"/>
        </c:dLbls>
        <c:gapWidth val="150"/>
        <c:axId val="171822464"/>
        <c:axId val="171841792"/>
      </c:barChart>
      <c:catAx>
        <c:axId val="171822464"/>
        <c:scaling>
          <c:orientation val="minMax"/>
        </c:scaling>
        <c:delete val="0"/>
        <c:axPos val="b"/>
        <c:majorTickMark val="out"/>
        <c:minorTickMark val="none"/>
        <c:tickLblPos val="nextTo"/>
        <c:txPr>
          <a:bodyPr/>
          <a:lstStyle/>
          <a:p>
            <a:pPr>
              <a:defRPr sz="900"/>
            </a:pPr>
            <a:endParaRPr lang="en-US"/>
          </a:p>
        </c:txPr>
        <c:crossAx val="171841792"/>
        <c:crosses val="autoZero"/>
        <c:auto val="1"/>
        <c:lblAlgn val="ctr"/>
        <c:lblOffset val="100"/>
        <c:noMultiLvlLbl val="0"/>
      </c:catAx>
      <c:valAx>
        <c:axId val="171841792"/>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1822464"/>
        <c:crosses val="autoZero"/>
        <c:crossBetween val="between"/>
        <c:majorUnit val="20"/>
      </c:valAx>
    </c:plotArea>
    <c:legend>
      <c:legendPos val="b"/>
      <c:layout>
        <c:manualLayout>
          <c:xMode val="edge"/>
          <c:yMode val="edge"/>
          <c:x val="0.17603566919191921"/>
          <c:y val="0.902254960317458"/>
          <c:w val="0.6944618055555557"/>
          <c:h val="9.4079861111111204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a:t>Smoking Prevalence by Gender</a:t>
            </a:r>
          </a:p>
        </c:rich>
      </c:tx>
      <c:layout>
        <c:manualLayout>
          <c:xMode val="edge"/>
          <c:yMode val="edge"/>
          <c:x val="3.0204901685600867E-3"/>
          <c:y val="0"/>
        </c:manualLayout>
      </c:layout>
      <c:overlay val="0"/>
    </c:title>
    <c:autoTitleDeleted val="0"/>
    <c:plotArea>
      <c:layout>
        <c:manualLayout>
          <c:layoutTarget val="inner"/>
          <c:xMode val="edge"/>
          <c:yMode val="edge"/>
          <c:x val="0.10262837189404188"/>
          <c:y val="0.12167579365079366"/>
          <c:w val="0.88497392671730957"/>
          <c:h val="0.57179523809523913"/>
        </c:manualLayout>
      </c:layout>
      <c:barChart>
        <c:barDir val="col"/>
        <c:grouping val="clustered"/>
        <c:varyColors val="0"/>
        <c:ser>
          <c:idx val="0"/>
          <c:order val="0"/>
          <c:tx>
            <c:strRef>
              <c:f>Sheet6!$A$68</c:f>
              <c:strCache>
                <c:ptCount val="1"/>
                <c:pt idx="0">
                  <c:v>Current smoker</c:v>
                </c:pt>
              </c:strCache>
            </c:strRef>
          </c:tx>
          <c:spPr>
            <a:solidFill>
              <a:srgbClr val="3366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Sheet6!$B$67:$C$67</c:f>
              <c:strCache>
                <c:ptCount val="2"/>
                <c:pt idx="0">
                  <c:v>Male</c:v>
                </c:pt>
                <c:pt idx="1">
                  <c:v>Female</c:v>
                </c:pt>
              </c:strCache>
            </c:strRef>
          </c:cat>
          <c:val>
            <c:numRef>
              <c:f>Sheet6!$B$68:$C$68</c:f>
              <c:numCache>
                <c:formatCode>0</c:formatCode>
                <c:ptCount val="2"/>
                <c:pt idx="0">
                  <c:v>25.143866494368165</c:v>
                </c:pt>
                <c:pt idx="1">
                  <c:v>22.870274841043081</c:v>
                </c:pt>
              </c:numCache>
            </c:numRef>
          </c:val>
        </c:ser>
        <c:ser>
          <c:idx val="1"/>
          <c:order val="1"/>
          <c:tx>
            <c:strRef>
              <c:f>Sheet6!$A$69</c:f>
              <c:strCache>
                <c:ptCount val="1"/>
                <c:pt idx="0">
                  <c:v>Used to smoke on a regular basis</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Sheet6!$B$67:$C$67</c:f>
              <c:strCache>
                <c:ptCount val="2"/>
                <c:pt idx="0">
                  <c:v>Male</c:v>
                </c:pt>
                <c:pt idx="1">
                  <c:v>Female</c:v>
                </c:pt>
              </c:strCache>
            </c:strRef>
          </c:cat>
          <c:val>
            <c:numRef>
              <c:f>Sheet6!$B$69:$C$69</c:f>
              <c:numCache>
                <c:formatCode>0</c:formatCode>
                <c:ptCount val="2"/>
                <c:pt idx="0">
                  <c:v>21.49840140789853</c:v>
                </c:pt>
                <c:pt idx="1">
                  <c:v>16.999436081137496</c:v>
                </c:pt>
              </c:numCache>
            </c:numRef>
          </c:val>
        </c:ser>
        <c:ser>
          <c:idx val="2"/>
          <c:order val="2"/>
          <c:tx>
            <c:strRef>
              <c:f>Sheet6!$A$70</c:f>
              <c:strCache>
                <c:ptCount val="1"/>
                <c:pt idx="0">
                  <c:v>Used to smoke but not regularly</c:v>
                </c:pt>
              </c:strCache>
            </c:strRef>
          </c:tx>
          <c:spPr>
            <a:solidFill>
              <a:srgbClr val="99FF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Sheet6!$B$67:$C$67</c:f>
              <c:strCache>
                <c:ptCount val="2"/>
                <c:pt idx="0">
                  <c:v>Male</c:v>
                </c:pt>
                <c:pt idx="1">
                  <c:v>Female</c:v>
                </c:pt>
              </c:strCache>
            </c:strRef>
          </c:cat>
          <c:val>
            <c:numRef>
              <c:f>Sheet6!$B$70:$C$70</c:f>
              <c:numCache>
                <c:formatCode>0</c:formatCode>
                <c:ptCount val="2"/>
                <c:pt idx="0">
                  <c:v>10.163814566961276</c:v>
                </c:pt>
                <c:pt idx="1">
                  <c:v>6.6431685117351957</c:v>
                </c:pt>
              </c:numCache>
            </c:numRef>
          </c:val>
        </c:ser>
        <c:ser>
          <c:idx val="3"/>
          <c:order val="3"/>
          <c:tx>
            <c:strRef>
              <c:f>Sheet6!$A$71</c:f>
              <c:strCache>
                <c:ptCount val="1"/>
                <c:pt idx="0">
                  <c:v>Never smoked</c:v>
                </c:pt>
              </c:strCache>
            </c:strRef>
          </c:tx>
          <c:spPr>
            <a:solidFill>
              <a:srgbClr val="CCFFCC"/>
            </a:solidFill>
            <a:ln>
              <a:noFill/>
            </a:ln>
          </c:spPr>
          <c:invertIfNegative val="0"/>
          <c:dPt>
            <c:idx val="0"/>
            <c:invertIfNegative val="0"/>
            <c:bubble3D val="0"/>
            <c:spPr>
              <a:solidFill>
                <a:srgbClr val="CCFFCC"/>
              </a:solidFill>
              <a:ln>
                <a:solidFill>
                  <a:srgbClr val="99FF99"/>
                </a:solidFill>
              </a:ln>
            </c:spPr>
          </c:dPt>
          <c:dLbls>
            <c:txPr>
              <a:bodyPr/>
              <a:lstStyle/>
              <a:p>
                <a:pPr>
                  <a:defRPr sz="900"/>
                </a:pPr>
                <a:endParaRPr lang="en-US"/>
              </a:p>
            </c:txPr>
            <c:dLblPos val="outEnd"/>
            <c:showLegendKey val="0"/>
            <c:showVal val="1"/>
            <c:showCatName val="0"/>
            <c:showSerName val="0"/>
            <c:showPercent val="0"/>
            <c:showBubbleSize val="0"/>
            <c:showLeaderLines val="0"/>
          </c:dLbls>
          <c:cat>
            <c:strRef>
              <c:f>Sheet6!$B$67:$C$67</c:f>
              <c:strCache>
                <c:ptCount val="2"/>
                <c:pt idx="0">
                  <c:v>Male</c:v>
                </c:pt>
                <c:pt idx="1">
                  <c:v>Female</c:v>
                </c:pt>
              </c:strCache>
            </c:strRef>
          </c:cat>
          <c:val>
            <c:numRef>
              <c:f>Sheet6!$B$71:$C$71</c:f>
              <c:numCache>
                <c:formatCode>0</c:formatCode>
                <c:ptCount val="2"/>
                <c:pt idx="0">
                  <c:v>43.193917530771991</c:v>
                </c:pt>
                <c:pt idx="1">
                  <c:v>53.487120566083746</c:v>
                </c:pt>
              </c:numCache>
            </c:numRef>
          </c:val>
        </c:ser>
        <c:dLbls>
          <c:showLegendKey val="0"/>
          <c:showVal val="1"/>
          <c:showCatName val="0"/>
          <c:showSerName val="0"/>
          <c:showPercent val="0"/>
          <c:showBubbleSize val="0"/>
        </c:dLbls>
        <c:gapWidth val="150"/>
        <c:axId val="171899520"/>
        <c:axId val="171913600"/>
      </c:barChart>
      <c:catAx>
        <c:axId val="171899520"/>
        <c:scaling>
          <c:orientation val="minMax"/>
        </c:scaling>
        <c:delete val="0"/>
        <c:axPos val="b"/>
        <c:majorTickMark val="out"/>
        <c:minorTickMark val="none"/>
        <c:tickLblPos val="nextTo"/>
        <c:txPr>
          <a:bodyPr/>
          <a:lstStyle/>
          <a:p>
            <a:pPr>
              <a:defRPr sz="900"/>
            </a:pPr>
            <a:endParaRPr lang="en-US"/>
          </a:p>
        </c:txPr>
        <c:crossAx val="171913600"/>
        <c:crosses val="autoZero"/>
        <c:auto val="1"/>
        <c:lblAlgn val="ctr"/>
        <c:lblOffset val="100"/>
        <c:noMultiLvlLbl val="0"/>
      </c:catAx>
      <c:valAx>
        <c:axId val="171913600"/>
        <c:scaling>
          <c:orientation val="minMax"/>
          <c:max val="60"/>
        </c:scaling>
        <c:delete val="0"/>
        <c:axPos val="l"/>
        <c:title>
          <c:tx>
            <c:rich>
              <a:bodyPr rot="0" vert="horz"/>
              <a:lstStyle/>
              <a:p>
                <a:pPr>
                  <a:defRPr sz="900"/>
                </a:pPr>
                <a:r>
                  <a:rPr lang="en-US" sz="900"/>
                  <a:t>%</a:t>
                </a:r>
              </a:p>
            </c:rich>
          </c:tx>
          <c:layout>
            <c:manualLayout>
              <c:xMode val="edge"/>
              <c:yMode val="edge"/>
              <c:x val="1.2212239989825048E-3"/>
              <c:y val="0.37989285714285809"/>
            </c:manualLayout>
          </c:layout>
          <c:overlay val="0"/>
        </c:title>
        <c:numFmt formatCode="0" sourceLinked="1"/>
        <c:majorTickMark val="out"/>
        <c:minorTickMark val="none"/>
        <c:tickLblPos val="nextTo"/>
        <c:txPr>
          <a:bodyPr/>
          <a:lstStyle/>
          <a:p>
            <a:pPr>
              <a:defRPr sz="900"/>
            </a:pPr>
            <a:endParaRPr lang="en-US"/>
          </a:p>
        </c:txPr>
        <c:crossAx val="171899520"/>
        <c:crosses val="autoZero"/>
        <c:crossBetween val="between"/>
        <c:majorUnit val="20"/>
      </c:valAx>
    </c:plotArea>
    <c:legend>
      <c:legendPos val="b"/>
      <c:layout>
        <c:manualLayout>
          <c:xMode val="edge"/>
          <c:yMode val="edge"/>
          <c:x val="0"/>
          <c:y val="0.83456706349206267"/>
          <c:w val="0.99782600345688865"/>
          <c:h val="0.12534444444444467"/>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Smoking Prevalence</a:t>
            </a:r>
            <a:r>
              <a:rPr lang="en-GB" baseline="0"/>
              <a:t> - Males by Age</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0.11773852592750253"/>
          <c:y val="0.11761601307189549"/>
          <c:w val="0.87972539468602651"/>
          <c:h val="0.65874754901960864"/>
        </c:manualLayout>
      </c:layout>
      <c:barChart>
        <c:barDir val="col"/>
        <c:grouping val="stacked"/>
        <c:varyColors val="0"/>
        <c:ser>
          <c:idx val="0"/>
          <c:order val="0"/>
          <c:tx>
            <c:strRef>
              <c:f>Sheet6!$A$11</c:f>
              <c:strCache>
                <c:ptCount val="1"/>
                <c:pt idx="0">
                  <c:v>Current smoker</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Sheet6!$Q$10:$W$10</c:f>
              <c:strCache>
                <c:ptCount val="7"/>
                <c:pt idx="0">
                  <c:v>16-24</c:v>
                </c:pt>
                <c:pt idx="1">
                  <c:v>25-34</c:v>
                </c:pt>
                <c:pt idx="2">
                  <c:v>35-44</c:v>
                </c:pt>
                <c:pt idx="3">
                  <c:v>45-54</c:v>
                </c:pt>
                <c:pt idx="4">
                  <c:v>55-64</c:v>
                </c:pt>
                <c:pt idx="5">
                  <c:v>65-74</c:v>
                </c:pt>
                <c:pt idx="6">
                  <c:v>75+</c:v>
                </c:pt>
              </c:strCache>
            </c:strRef>
          </c:cat>
          <c:val>
            <c:numRef>
              <c:f>Sheet6!$Q$11:$W$11</c:f>
              <c:numCache>
                <c:formatCode>0</c:formatCode>
                <c:ptCount val="7"/>
                <c:pt idx="0">
                  <c:v>26.392457689339206</c:v>
                </c:pt>
                <c:pt idx="1">
                  <c:v>31.814209907769673</c:v>
                </c:pt>
                <c:pt idx="2">
                  <c:v>29.644587365460985</c:v>
                </c:pt>
                <c:pt idx="3">
                  <c:v>26.471728886782138</c:v>
                </c:pt>
                <c:pt idx="4">
                  <c:v>21.709454812552618</c:v>
                </c:pt>
                <c:pt idx="5">
                  <c:v>15.433536335094031</c:v>
                </c:pt>
                <c:pt idx="6">
                  <c:v>10.82855975584385</c:v>
                </c:pt>
              </c:numCache>
            </c:numRef>
          </c:val>
        </c:ser>
        <c:ser>
          <c:idx val="1"/>
          <c:order val="1"/>
          <c:tx>
            <c:strRef>
              <c:f>Sheet6!$A$12</c:f>
              <c:strCache>
                <c:ptCount val="1"/>
                <c:pt idx="0">
                  <c:v>Used to smoke</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Sheet6!$Q$10:$W$10</c:f>
              <c:strCache>
                <c:ptCount val="7"/>
                <c:pt idx="0">
                  <c:v>16-24</c:v>
                </c:pt>
                <c:pt idx="1">
                  <c:v>25-34</c:v>
                </c:pt>
                <c:pt idx="2">
                  <c:v>35-44</c:v>
                </c:pt>
                <c:pt idx="3">
                  <c:v>45-54</c:v>
                </c:pt>
                <c:pt idx="4">
                  <c:v>55-64</c:v>
                </c:pt>
                <c:pt idx="5">
                  <c:v>65-74</c:v>
                </c:pt>
                <c:pt idx="6">
                  <c:v>75+</c:v>
                </c:pt>
              </c:strCache>
            </c:strRef>
          </c:cat>
          <c:val>
            <c:numRef>
              <c:f>Sheet6!$Q$12:$W$12</c:f>
              <c:numCache>
                <c:formatCode>0</c:formatCode>
                <c:ptCount val="7"/>
                <c:pt idx="0">
                  <c:v>20.199810422381365</c:v>
                </c:pt>
                <c:pt idx="1">
                  <c:v>24.034097279783786</c:v>
                </c:pt>
                <c:pt idx="2">
                  <c:v>25.732941824090943</c:v>
                </c:pt>
                <c:pt idx="3">
                  <c:v>31.890078899576441</c:v>
                </c:pt>
                <c:pt idx="4">
                  <c:v>38.925748933167895</c:v>
                </c:pt>
                <c:pt idx="5">
                  <c:v>47.280636727967504</c:v>
                </c:pt>
                <c:pt idx="6">
                  <c:v>56.61480884560477</c:v>
                </c:pt>
              </c:numCache>
            </c:numRef>
          </c:val>
        </c:ser>
        <c:ser>
          <c:idx val="2"/>
          <c:order val="2"/>
          <c:tx>
            <c:strRef>
              <c:f>Sheet6!$A$13</c:f>
              <c:strCache>
                <c:ptCount val="1"/>
                <c:pt idx="0">
                  <c:v>Never smoked</c:v>
                </c:pt>
              </c:strCache>
            </c:strRef>
          </c:tx>
          <c:spPr>
            <a:solidFill>
              <a:srgbClr val="CCFFCC"/>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Sheet6!$Q$10:$W$10</c:f>
              <c:strCache>
                <c:ptCount val="7"/>
                <c:pt idx="0">
                  <c:v>16-24</c:v>
                </c:pt>
                <c:pt idx="1">
                  <c:v>25-34</c:v>
                </c:pt>
                <c:pt idx="2">
                  <c:v>35-44</c:v>
                </c:pt>
                <c:pt idx="3">
                  <c:v>45-54</c:v>
                </c:pt>
                <c:pt idx="4">
                  <c:v>55-64</c:v>
                </c:pt>
                <c:pt idx="5">
                  <c:v>65-74</c:v>
                </c:pt>
                <c:pt idx="6">
                  <c:v>75+</c:v>
                </c:pt>
              </c:strCache>
            </c:strRef>
          </c:cat>
          <c:val>
            <c:numRef>
              <c:f>Sheet6!$Q$13:$W$13</c:f>
              <c:numCache>
                <c:formatCode>0</c:formatCode>
                <c:ptCount val="7"/>
                <c:pt idx="0">
                  <c:v>53.407731888279308</c:v>
                </c:pt>
                <c:pt idx="1">
                  <c:v>44.151692812446775</c:v>
                </c:pt>
                <c:pt idx="2">
                  <c:v>44.622470810448213</c:v>
                </c:pt>
                <c:pt idx="3">
                  <c:v>41.252268189459521</c:v>
                </c:pt>
                <c:pt idx="4">
                  <c:v>39.364796254279455</c:v>
                </c:pt>
                <c:pt idx="5">
                  <c:v>37.285826936938363</c:v>
                </c:pt>
                <c:pt idx="6">
                  <c:v>31.947768594128156</c:v>
                </c:pt>
              </c:numCache>
            </c:numRef>
          </c:val>
        </c:ser>
        <c:dLbls>
          <c:showLegendKey val="0"/>
          <c:showVal val="1"/>
          <c:showCatName val="0"/>
          <c:showSerName val="0"/>
          <c:showPercent val="0"/>
          <c:showBubbleSize val="0"/>
        </c:dLbls>
        <c:gapWidth val="70"/>
        <c:overlap val="100"/>
        <c:axId val="171937152"/>
        <c:axId val="172168320"/>
      </c:barChart>
      <c:catAx>
        <c:axId val="171937152"/>
        <c:scaling>
          <c:orientation val="minMax"/>
        </c:scaling>
        <c:delete val="0"/>
        <c:axPos val="b"/>
        <c:majorTickMark val="out"/>
        <c:minorTickMark val="none"/>
        <c:tickLblPos val="nextTo"/>
        <c:txPr>
          <a:bodyPr/>
          <a:lstStyle/>
          <a:p>
            <a:pPr>
              <a:defRPr sz="900"/>
            </a:pPr>
            <a:endParaRPr lang="en-US"/>
          </a:p>
        </c:txPr>
        <c:crossAx val="172168320"/>
        <c:crosses val="autoZero"/>
        <c:auto val="1"/>
        <c:lblAlgn val="ctr"/>
        <c:lblOffset val="100"/>
        <c:noMultiLvlLbl val="0"/>
      </c:catAx>
      <c:valAx>
        <c:axId val="172168320"/>
        <c:scaling>
          <c:orientation val="minMax"/>
          <c:max val="100"/>
        </c:scaling>
        <c:delete val="0"/>
        <c:axPos val="l"/>
        <c:title>
          <c:tx>
            <c:rich>
              <a:bodyPr rot="0" vert="horz"/>
              <a:lstStyle/>
              <a:p>
                <a:pPr>
                  <a:defRPr sz="900"/>
                </a:pPr>
                <a:r>
                  <a:rPr lang="en-US" sz="900"/>
                  <a:t>%</a:t>
                </a:r>
              </a:p>
            </c:rich>
          </c:tx>
          <c:layout>
            <c:manualLayout>
              <c:xMode val="edge"/>
              <c:yMode val="edge"/>
              <c:x val="2.0974250465387871E-3"/>
              <c:y val="0.41273651960784363"/>
            </c:manualLayout>
          </c:layout>
          <c:overlay val="0"/>
        </c:title>
        <c:numFmt formatCode="0" sourceLinked="1"/>
        <c:majorTickMark val="out"/>
        <c:minorTickMark val="none"/>
        <c:tickLblPos val="nextTo"/>
        <c:txPr>
          <a:bodyPr/>
          <a:lstStyle/>
          <a:p>
            <a:pPr>
              <a:defRPr sz="900"/>
            </a:pPr>
            <a:endParaRPr lang="en-US"/>
          </a:p>
        </c:txPr>
        <c:crossAx val="171937152"/>
        <c:crosses val="autoZero"/>
        <c:crossBetween val="between"/>
        <c:majorUnit val="20"/>
      </c:valAx>
    </c:plotArea>
    <c:legend>
      <c:legendPos val="b"/>
      <c:layout>
        <c:manualLayout>
          <c:xMode val="edge"/>
          <c:yMode val="edge"/>
          <c:x val="0"/>
          <c:y val="0.8935428921568627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Smoking Prevalence - Females by Age</a:t>
            </a:r>
          </a:p>
        </c:rich>
      </c:tx>
      <c:layout>
        <c:manualLayout>
          <c:xMode val="edge"/>
          <c:yMode val="edge"/>
          <c:x val="1.1224694327520621E-3"/>
          <c:y val="0"/>
        </c:manualLayout>
      </c:layout>
      <c:overlay val="0"/>
    </c:title>
    <c:autoTitleDeleted val="0"/>
    <c:plotArea>
      <c:layout>
        <c:manualLayout>
          <c:layoutTarget val="inner"/>
          <c:xMode val="edge"/>
          <c:yMode val="edge"/>
          <c:x val="0.11373452192349855"/>
          <c:y val="0.12534027777777779"/>
          <c:w val="0.88372939869002864"/>
          <c:h val="0.63534436274509865"/>
        </c:manualLayout>
      </c:layout>
      <c:barChart>
        <c:barDir val="col"/>
        <c:grouping val="stacked"/>
        <c:varyColors val="0"/>
        <c:ser>
          <c:idx val="0"/>
          <c:order val="0"/>
          <c:tx>
            <c:strRef>
              <c:f>Sheet6!$A$18</c:f>
              <c:strCache>
                <c:ptCount val="1"/>
                <c:pt idx="0">
                  <c:v>Current smoker</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Sheet6!$Q$17:$W$17</c:f>
              <c:strCache>
                <c:ptCount val="7"/>
                <c:pt idx="0">
                  <c:v>16-24</c:v>
                </c:pt>
                <c:pt idx="1">
                  <c:v>25-34</c:v>
                </c:pt>
                <c:pt idx="2">
                  <c:v>35-44</c:v>
                </c:pt>
                <c:pt idx="3">
                  <c:v>45-54</c:v>
                </c:pt>
                <c:pt idx="4">
                  <c:v>55-64</c:v>
                </c:pt>
                <c:pt idx="5">
                  <c:v>65-74</c:v>
                </c:pt>
                <c:pt idx="6">
                  <c:v>75+</c:v>
                </c:pt>
              </c:strCache>
            </c:strRef>
          </c:cat>
          <c:val>
            <c:numRef>
              <c:f>Sheet6!$Q$18:$W$18</c:f>
              <c:numCache>
                <c:formatCode>0</c:formatCode>
                <c:ptCount val="7"/>
                <c:pt idx="0">
                  <c:v>27.08204873033171</c:v>
                </c:pt>
                <c:pt idx="1">
                  <c:v>32.026119805039663</c:v>
                </c:pt>
                <c:pt idx="2">
                  <c:v>24.458512949967449</c:v>
                </c:pt>
                <c:pt idx="3">
                  <c:v>24.443900881452542</c:v>
                </c:pt>
                <c:pt idx="4">
                  <c:v>19.304004933541417</c:v>
                </c:pt>
                <c:pt idx="5">
                  <c:v>15.837288816933636</c:v>
                </c:pt>
                <c:pt idx="6">
                  <c:v>7.3845815691924388</c:v>
                </c:pt>
              </c:numCache>
            </c:numRef>
          </c:val>
        </c:ser>
        <c:ser>
          <c:idx val="1"/>
          <c:order val="1"/>
          <c:tx>
            <c:strRef>
              <c:f>Sheet6!$A$19</c:f>
              <c:strCache>
                <c:ptCount val="1"/>
                <c:pt idx="0">
                  <c:v>Used to smoke</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Sheet6!$Q$17:$W$17</c:f>
              <c:strCache>
                <c:ptCount val="7"/>
                <c:pt idx="0">
                  <c:v>16-24</c:v>
                </c:pt>
                <c:pt idx="1">
                  <c:v>25-34</c:v>
                </c:pt>
                <c:pt idx="2">
                  <c:v>35-44</c:v>
                </c:pt>
                <c:pt idx="3">
                  <c:v>45-54</c:v>
                </c:pt>
                <c:pt idx="4">
                  <c:v>55-64</c:v>
                </c:pt>
                <c:pt idx="5">
                  <c:v>65-74</c:v>
                </c:pt>
                <c:pt idx="6">
                  <c:v>75+</c:v>
                </c:pt>
              </c:strCache>
            </c:strRef>
          </c:cat>
          <c:val>
            <c:numRef>
              <c:f>Sheet6!$Q$19:$W$19</c:f>
              <c:numCache>
                <c:formatCode>0</c:formatCode>
                <c:ptCount val="7"/>
                <c:pt idx="0">
                  <c:v>15.349208248282222</c:v>
                </c:pt>
                <c:pt idx="1">
                  <c:v>21.92025592703413</c:v>
                </c:pt>
                <c:pt idx="2">
                  <c:v>24.27140414446459</c:v>
                </c:pt>
                <c:pt idx="3">
                  <c:v>23.509948429947105</c:v>
                </c:pt>
                <c:pt idx="4">
                  <c:v>28.339730745435787</c:v>
                </c:pt>
                <c:pt idx="5">
                  <c:v>25.627877170894944</c:v>
                </c:pt>
                <c:pt idx="6">
                  <c:v>29.951527520623813</c:v>
                </c:pt>
              </c:numCache>
            </c:numRef>
          </c:val>
        </c:ser>
        <c:ser>
          <c:idx val="2"/>
          <c:order val="2"/>
          <c:tx>
            <c:strRef>
              <c:f>Sheet6!$A$20</c:f>
              <c:strCache>
                <c:ptCount val="1"/>
                <c:pt idx="0">
                  <c:v>Never smoked</c:v>
                </c:pt>
              </c:strCache>
            </c:strRef>
          </c:tx>
          <c:spPr>
            <a:solidFill>
              <a:srgbClr val="CCFFCC"/>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Sheet6!$Q$17:$W$17</c:f>
              <c:strCache>
                <c:ptCount val="7"/>
                <c:pt idx="0">
                  <c:v>16-24</c:v>
                </c:pt>
                <c:pt idx="1">
                  <c:v>25-34</c:v>
                </c:pt>
                <c:pt idx="2">
                  <c:v>35-44</c:v>
                </c:pt>
                <c:pt idx="3">
                  <c:v>45-54</c:v>
                </c:pt>
                <c:pt idx="4">
                  <c:v>55-64</c:v>
                </c:pt>
                <c:pt idx="5">
                  <c:v>65-74</c:v>
                </c:pt>
                <c:pt idx="6">
                  <c:v>75+</c:v>
                </c:pt>
              </c:strCache>
            </c:strRef>
          </c:cat>
          <c:val>
            <c:numRef>
              <c:f>Sheet6!$Q$20:$W$20</c:f>
              <c:numCache>
                <c:formatCode>0</c:formatCode>
                <c:ptCount val="7"/>
                <c:pt idx="0">
                  <c:v>57.568743021386126</c:v>
                </c:pt>
                <c:pt idx="1">
                  <c:v>46.053624267926367</c:v>
                </c:pt>
                <c:pt idx="2">
                  <c:v>51.270082905567939</c:v>
                </c:pt>
                <c:pt idx="3">
                  <c:v>51.851486297315773</c:v>
                </c:pt>
                <c:pt idx="4">
                  <c:v>52.033373425926456</c:v>
                </c:pt>
                <c:pt idx="5">
                  <c:v>58.53483401217121</c:v>
                </c:pt>
                <c:pt idx="6">
                  <c:v>62.663890910183973</c:v>
                </c:pt>
              </c:numCache>
            </c:numRef>
          </c:val>
        </c:ser>
        <c:dLbls>
          <c:showLegendKey val="0"/>
          <c:showVal val="1"/>
          <c:showCatName val="0"/>
          <c:showSerName val="0"/>
          <c:showPercent val="0"/>
          <c:showBubbleSize val="0"/>
        </c:dLbls>
        <c:gapWidth val="70"/>
        <c:overlap val="100"/>
        <c:axId val="172204416"/>
        <c:axId val="172205952"/>
      </c:barChart>
      <c:catAx>
        <c:axId val="172204416"/>
        <c:scaling>
          <c:orientation val="minMax"/>
        </c:scaling>
        <c:delete val="0"/>
        <c:axPos val="b"/>
        <c:majorTickMark val="out"/>
        <c:minorTickMark val="none"/>
        <c:tickLblPos val="nextTo"/>
        <c:txPr>
          <a:bodyPr/>
          <a:lstStyle/>
          <a:p>
            <a:pPr>
              <a:defRPr sz="900"/>
            </a:pPr>
            <a:endParaRPr lang="en-US"/>
          </a:p>
        </c:txPr>
        <c:crossAx val="172205952"/>
        <c:crosses val="autoZero"/>
        <c:auto val="1"/>
        <c:lblAlgn val="ctr"/>
        <c:lblOffset val="100"/>
        <c:noMultiLvlLbl val="0"/>
      </c:catAx>
      <c:valAx>
        <c:axId val="172205952"/>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2204416"/>
        <c:crosses val="autoZero"/>
        <c:crossBetween val="between"/>
        <c:majorUnit val="20"/>
      </c:valAx>
    </c:plotArea>
    <c:legend>
      <c:legendPos val="b"/>
      <c:layout>
        <c:manualLayout>
          <c:xMode val="edge"/>
          <c:yMode val="edge"/>
          <c:x val="0"/>
          <c:y val="0.909106617647058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Smoking Prevalence by Trust and Gender</a:t>
            </a:r>
          </a:p>
        </c:rich>
      </c:tx>
      <c:layout>
        <c:manualLayout>
          <c:xMode val="edge"/>
          <c:yMode val="edge"/>
          <c:x val="2.1846487469282952E-3"/>
          <c:y val="0"/>
        </c:manualLayout>
      </c:layout>
      <c:overlay val="0"/>
    </c:title>
    <c:autoTitleDeleted val="0"/>
    <c:plotArea>
      <c:layout>
        <c:manualLayout>
          <c:layoutTarget val="inner"/>
          <c:xMode val="edge"/>
          <c:yMode val="edge"/>
          <c:x val="0.10433336802062737"/>
          <c:y val="0.14206825396825395"/>
          <c:w val="0.89520760345485462"/>
          <c:h val="0.65011785714285764"/>
        </c:manualLayout>
      </c:layout>
      <c:barChart>
        <c:barDir val="col"/>
        <c:grouping val="clustered"/>
        <c:varyColors val="0"/>
        <c:ser>
          <c:idx val="0"/>
          <c:order val="0"/>
          <c:tx>
            <c:strRef>
              <c:f>Sheet6!$A$47</c:f>
              <c:strCache>
                <c:ptCount val="1"/>
                <c:pt idx="0">
                  <c:v>Male</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Sheet6!$B$46:$F$46</c:f>
              <c:strCache>
                <c:ptCount val="5"/>
                <c:pt idx="0">
                  <c:v>Belfast</c:v>
                </c:pt>
                <c:pt idx="1">
                  <c:v>Northern</c:v>
                </c:pt>
                <c:pt idx="2">
                  <c:v>South Eastern</c:v>
                </c:pt>
                <c:pt idx="3">
                  <c:v>Southern</c:v>
                </c:pt>
                <c:pt idx="4">
                  <c:v>Western</c:v>
                </c:pt>
              </c:strCache>
            </c:strRef>
          </c:cat>
          <c:val>
            <c:numRef>
              <c:f>Sheet6!$B$47:$F$47</c:f>
              <c:numCache>
                <c:formatCode>0</c:formatCode>
                <c:ptCount val="5"/>
                <c:pt idx="0">
                  <c:v>27.555520389307542</c:v>
                </c:pt>
                <c:pt idx="1">
                  <c:v>22.492126350366803</c:v>
                </c:pt>
                <c:pt idx="2">
                  <c:v>23.483107543442589</c:v>
                </c:pt>
                <c:pt idx="3">
                  <c:v>25.401690878219789</c:v>
                </c:pt>
                <c:pt idx="4">
                  <c:v>28.526129942442626</c:v>
                </c:pt>
              </c:numCache>
            </c:numRef>
          </c:val>
        </c:ser>
        <c:ser>
          <c:idx val="1"/>
          <c:order val="1"/>
          <c:tx>
            <c:strRef>
              <c:f>Sheet6!$A$48</c:f>
              <c:strCache>
                <c:ptCount val="1"/>
                <c:pt idx="0">
                  <c:v>Female</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Sheet6!$B$46:$F$46</c:f>
              <c:strCache>
                <c:ptCount val="5"/>
                <c:pt idx="0">
                  <c:v>Belfast</c:v>
                </c:pt>
                <c:pt idx="1">
                  <c:v>Northern</c:v>
                </c:pt>
                <c:pt idx="2">
                  <c:v>South Eastern</c:v>
                </c:pt>
                <c:pt idx="3">
                  <c:v>Southern</c:v>
                </c:pt>
                <c:pt idx="4">
                  <c:v>Western</c:v>
                </c:pt>
              </c:strCache>
            </c:strRef>
          </c:cat>
          <c:val>
            <c:numRef>
              <c:f>Sheet6!$B$48:$F$48</c:f>
              <c:numCache>
                <c:formatCode>0</c:formatCode>
                <c:ptCount val="5"/>
                <c:pt idx="0">
                  <c:v>24.476351090219801</c:v>
                </c:pt>
                <c:pt idx="1">
                  <c:v>21.543020972500972</c:v>
                </c:pt>
                <c:pt idx="2">
                  <c:v>21.677465727466007</c:v>
                </c:pt>
                <c:pt idx="3">
                  <c:v>20.371238658182431</c:v>
                </c:pt>
                <c:pt idx="4">
                  <c:v>28.196182161857898</c:v>
                </c:pt>
              </c:numCache>
            </c:numRef>
          </c:val>
        </c:ser>
        <c:dLbls>
          <c:showLegendKey val="0"/>
          <c:showVal val="1"/>
          <c:showCatName val="0"/>
          <c:showSerName val="0"/>
          <c:showPercent val="0"/>
          <c:showBubbleSize val="0"/>
        </c:dLbls>
        <c:gapWidth val="150"/>
        <c:axId val="172257280"/>
        <c:axId val="172258816"/>
      </c:barChart>
      <c:catAx>
        <c:axId val="172257280"/>
        <c:scaling>
          <c:orientation val="minMax"/>
        </c:scaling>
        <c:delete val="0"/>
        <c:axPos val="b"/>
        <c:majorTickMark val="out"/>
        <c:minorTickMark val="none"/>
        <c:tickLblPos val="nextTo"/>
        <c:txPr>
          <a:bodyPr/>
          <a:lstStyle/>
          <a:p>
            <a:pPr>
              <a:defRPr sz="900"/>
            </a:pPr>
            <a:endParaRPr lang="en-US"/>
          </a:p>
        </c:txPr>
        <c:crossAx val="172258816"/>
        <c:crosses val="autoZero"/>
        <c:auto val="1"/>
        <c:lblAlgn val="ctr"/>
        <c:lblOffset val="100"/>
        <c:noMultiLvlLbl val="0"/>
      </c:catAx>
      <c:valAx>
        <c:axId val="172258816"/>
        <c:scaling>
          <c:orientation val="minMax"/>
        </c:scaling>
        <c:delete val="0"/>
        <c:axPos val="l"/>
        <c:title>
          <c:tx>
            <c:rich>
              <a:bodyPr rot="0" vert="horz"/>
              <a:lstStyle/>
              <a:p>
                <a:pPr>
                  <a:defRPr sz="900"/>
                </a:pPr>
                <a:r>
                  <a:rPr lang="en-GB" sz="900"/>
                  <a:t>%</a:t>
                </a:r>
              </a:p>
            </c:rich>
          </c:tx>
          <c:layout>
            <c:manualLayout>
              <c:xMode val="edge"/>
              <c:yMode val="edge"/>
              <c:x val="6.4747303062888126E-3"/>
              <c:y val="0.42881269841269898"/>
            </c:manualLayout>
          </c:layout>
          <c:overlay val="0"/>
        </c:title>
        <c:numFmt formatCode="0" sourceLinked="1"/>
        <c:majorTickMark val="out"/>
        <c:minorTickMark val="none"/>
        <c:tickLblPos val="nextTo"/>
        <c:txPr>
          <a:bodyPr/>
          <a:lstStyle/>
          <a:p>
            <a:pPr>
              <a:defRPr sz="900"/>
            </a:pPr>
            <a:endParaRPr lang="en-US"/>
          </a:p>
        </c:txPr>
        <c:crossAx val="172257280"/>
        <c:crosses val="autoZero"/>
        <c:crossBetween val="between"/>
        <c:majorUnit val="10"/>
      </c:valAx>
    </c:plotArea>
    <c:legend>
      <c:legendPos val="b"/>
      <c:layout>
        <c:manualLayout>
          <c:xMode val="edge"/>
          <c:yMode val="edge"/>
          <c:x val="0.37647743055555588"/>
          <c:y val="0.89343531746031768"/>
          <c:w val="0.30560451388889587"/>
          <c:h val="0.10289920634920639"/>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Smoking Prevalence by Urban-Rural Location</a:t>
            </a:r>
          </a:p>
        </c:rich>
      </c:tx>
      <c:layout>
        <c:manualLayout>
          <c:xMode val="edge"/>
          <c:yMode val="edge"/>
          <c:x val="1.1224694327520621E-3"/>
          <c:y val="0"/>
        </c:manualLayout>
      </c:layout>
      <c:overlay val="0"/>
    </c:title>
    <c:autoTitleDeleted val="0"/>
    <c:plotArea>
      <c:layout>
        <c:manualLayout>
          <c:layoutTarget val="inner"/>
          <c:xMode val="edge"/>
          <c:yMode val="edge"/>
          <c:x val="0.1070581705921121"/>
          <c:y val="0.14092023809523838"/>
          <c:w val="0.89040572571600263"/>
          <c:h val="0.6542019841269846"/>
        </c:manualLayout>
      </c:layout>
      <c:barChart>
        <c:barDir val="col"/>
        <c:grouping val="stacked"/>
        <c:varyColors val="0"/>
        <c:ser>
          <c:idx val="0"/>
          <c:order val="0"/>
          <c:tx>
            <c:strRef>
              <c:f>Sheet6!$A$24</c:f>
              <c:strCache>
                <c:ptCount val="1"/>
                <c:pt idx="0">
                  <c:v>Current smoker</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Sheet6!$B$23:$E$23</c:f>
              <c:strCache>
                <c:ptCount val="4"/>
                <c:pt idx="0">
                  <c:v>Male Urban</c:v>
                </c:pt>
                <c:pt idx="1">
                  <c:v>Male Rural</c:v>
                </c:pt>
                <c:pt idx="2">
                  <c:v>Female Urban</c:v>
                </c:pt>
                <c:pt idx="3">
                  <c:v>Female Rural</c:v>
                </c:pt>
              </c:strCache>
            </c:strRef>
          </c:cat>
          <c:val>
            <c:numRef>
              <c:f>Sheet6!$B$24:$E$24</c:f>
              <c:numCache>
                <c:formatCode>0</c:formatCode>
                <c:ptCount val="4"/>
                <c:pt idx="0">
                  <c:v>26.671261290587193</c:v>
                </c:pt>
                <c:pt idx="1">
                  <c:v>22.437080236641812</c:v>
                </c:pt>
                <c:pt idx="2">
                  <c:v>26.531887963054334</c:v>
                </c:pt>
                <c:pt idx="3">
                  <c:v>16.224712317958549</c:v>
                </c:pt>
              </c:numCache>
            </c:numRef>
          </c:val>
        </c:ser>
        <c:ser>
          <c:idx val="1"/>
          <c:order val="1"/>
          <c:tx>
            <c:strRef>
              <c:f>Sheet6!$A$25</c:f>
              <c:strCache>
                <c:ptCount val="1"/>
                <c:pt idx="0">
                  <c:v>Used to smoke</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Sheet6!$B$23:$E$23</c:f>
              <c:strCache>
                <c:ptCount val="4"/>
                <c:pt idx="0">
                  <c:v>Male Urban</c:v>
                </c:pt>
                <c:pt idx="1">
                  <c:v>Male Rural</c:v>
                </c:pt>
                <c:pt idx="2">
                  <c:v>Female Urban</c:v>
                </c:pt>
                <c:pt idx="3">
                  <c:v>Female Rural</c:v>
                </c:pt>
              </c:strCache>
            </c:strRef>
          </c:cat>
          <c:val>
            <c:numRef>
              <c:f>Sheet6!$B$25:$E$25</c:f>
              <c:numCache>
                <c:formatCode>0</c:formatCode>
                <c:ptCount val="4"/>
                <c:pt idx="0">
                  <c:v>33.351677620330733</c:v>
                </c:pt>
                <c:pt idx="1">
                  <c:v>28.668221510404887</c:v>
                </c:pt>
                <c:pt idx="2">
                  <c:v>24.976594595009029</c:v>
                </c:pt>
                <c:pt idx="3">
                  <c:v>21.221509390030789</c:v>
                </c:pt>
              </c:numCache>
            </c:numRef>
          </c:val>
        </c:ser>
        <c:ser>
          <c:idx val="2"/>
          <c:order val="2"/>
          <c:tx>
            <c:strRef>
              <c:f>Sheet6!$A$26</c:f>
              <c:strCache>
                <c:ptCount val="1"/>
                <c:pt idx="0">
                  <c:v>Never smoked</c:v>
                </c:pt>
              </c:strCache>
            </c:strRef>
          </c:tx>
          <c:spPr>
            <a:solidFill>
              <a:srgbClr val="CCFFCC"/>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Sheet6!$B$23:$E$23</c:f>
              <c:strCache>
                <c:ptCount val="4"/>
                <c:pt idx="0">
                  <c:v>Male Urban</c:v>
                </c:pt>
                <c:pt idx="1">
                  <c:v>Male Rural</c:v>
                </c:pt>
                <c:pt idx="2">
                  <c:v>Female Urban</c:v>
                </c:pt>
                <c:pt idx="3">
                  <c:v>Female Rural</c:v>
                </c:pt>
              </c:strCache>
            </c:strRef>
          </c:cat>
          <c:val>
            <c:numRef>
              <c:f>Sheet6!$B$26:$E$26</c:f>
              <c:numCache>
                <c:formatCode>0</c:formatCode>
                <c:ptCount val="4"/>
                <c:pt idx="0">
                  <c:v>39.806476156065095</c:v>
                </c:pt>
                <c:pt idx="1">
                  <c:v>48.89469825295344</c:v>
                </c:pt>
                <c:pt idx="2">
                  <c:v>48.373741797842783</c:v>
                </c:pt>
                <c:pt idx="3">
                  <c:v>62.553778292010762</c:v>
                </c:pt>
              </c:numCache>
            </c:numRef>
          </c:val>
        </c:ser>
        <c:dLbls>
          <c:showLegendKey val="0"/>
          <c:showVal val="1"/>
          <c:showCatName val="0"/>
          <c:showSerName val="0"/>
          <c:showPercent val="0"/>
          <c:showBubbleSize val="0"/>
        </c:dLbls>
        <c:gapWidth val="70"/>
        <c:overlap val="100"/>
        <c:axId val="172315392"/>
        <c:axId val="172316928"/>
      </c:barChart>
      <c:catAx>
        <c:axId val="172315392"/>
        <c:scaling>
          <c:orientation val="minMax"/>
        </c:scaling>
        <c:delete val="0"/>
        <c:axPos val="b"/>
        <c:majorTickMark val="out"/>
        <c:minorTickMark val="none"/>
        <c:tickLblPos val="nextTo"/>
        <c:txPr>
          <a:bodyPr/>
          <a:lstStyle/>
          <a:p>
            <a:pPr>
              <a:defRPr sz="900"/>
            </a:pPr>
            <a:endParaRPr lang="en-US"/>
          </a:p>
        </c:txPr>
        <c:crossAx val="172316928"/>
        <c:crosses val="autoZero"/>
        <c:auto val="1"/>
        <c:lblAlgn val="ctr"/>
        <c:lblOffset val="100"/>
        <c:noMultiLvlLbl val="0"/>
      </c:catAx>
      <c:valAx>
        <c:axId val="172316928"/>
        <c:scaling>
          <c:orientation val="minMax"/>
          <c:max val="100"/>
        </c:scaling>
        <c:delete val="0"/>
        <c:axPos val="l"/>
        <c:title>
          <c:tx>
            <c:rich>
              <a:bodyPr rot="0" vert="horz"/>
              <a:lstStyle/>
              <a:p>
                <a:pPr>
                  <a:defRPr sz="900"/>
                </a:pPr>
                <a:r>
                  <a:rPr lang="en-GB" sz="900"/>
                  <a:t>%</a:t>
                </a:r>
              </a:p>
            </c:rich>
          </c:tx>
          <c:layout>
            <c:manualLayout>
              <c:xMode val="edge"/>
              <c:yMode val="edge"/>
              <c:x val="6.1012637737463543E-3"/>
              <c:y val="0.41962738095238133"/>
            </c:manualLayout>
          </c:layout>
          <c:overlay val="0"/>
        </c:title>
        <c:numFmt formatCode="0" sourceLinked="1"/>
        <c:majorTickMark val="out"/>
        <c:minorTickMark val="none"/>
        <c:tickLblPos val="nextTo"/>
        <c:txPr>
          <a:bodyPr/>
          <a:lstStyle/>
          <a:p>
            <a:pPr>
              <a:defRPr sz="900"/>
            </a:pPr>
            <a:endParaRPr lang="en-US"/>
          </a:p>
        </c:txPr>
        <c:crossAx val="172315392"/>
        <c:crosses val="autoZero"/>
        <c:crossBetween val="between"/>
        <c:majorUnit val="20"/>
      </c:valAx>
    </c:plotArea>
    <c:legend>
      <c:legendPos val="b"/>
      <c:layout>
        <c:manualLayout>
          <c:xMode val="edge"/>
          <c:yMode val="edge"/>
          <c:x val="0"/>
          <c:y val="0.924670138888892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Smoking Prevalence - Deprivation by Gender</a:t>
            </a:r>
          </a:p>
        </c:rich>
      </c:tx>
      <c:layout>
        <c:manualLayout>
          <c:xMode val="edge"/>
          <c:yMode val="edge"/>
          <c:x val="1.1224694327520621E-3"/>
          <c:y val="0"/>
        </c:manualLayout>
      </c:layout>
      <c:overlay val="0"/>
    </c:title>
    <c:autoTitleDeleted val="0"/>
    <c:plotArea>
      <c:layout>
        <c:manualLayout>
          <c:layoutTarget val="inner"/>
          <c:xMode val="edge"/>
          <c:yMode val="edge"/>
          <c:x val="0.11961630922260846"/>
          <c:y val="0.12580119047619076"/>
          <c:w val="0.86812923159380195"/>
          <c:h val="0.62396388888888965"/>
        </c:manualLayout>
      </c:layout>
      <c:barChart>
        <c:barDir val="col"/>
        <c:grouping val="stacked"/>
        <c:varyColors val="0"/>
        <c:ser>
          <c:idx val="0"/>
          <c:order val="0"/>
          <c:tx>
            <c:strRef>
              <c:f>Sheet6!$A$53</c:f>
              <c:strCache>
                <c:ptCount val="1"/>
                <c:pt idx="0">
                  <c:v>Current smoker</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Sheet6!$B$52:$E$52</c:f>
              <c:strCache>
                <c:ptCount val="4"/>
                <c:pt idx="0">
                  <c:v>Most Deprived Males</c:v>
                </c:pt>
                <c:pt idx="1">
                  <c:v>Least Deprived Males</c:v>
                </c:pt>
                <c:pt idx="2">
                  <c:v>Most Deprived Females</c:v>
                </c:pt>
                <c:pt idx="3">
                  <c:v>Least Deprived Females</c:v>
                </c:pt>
              </c:strCache>
            </c:strRef>
          </c:cat>
          <c:val>
            <c:numRef>
              <c:f>Sheet6!$B$53:$E$53</c:f>
              <c:numCache>
                <c:formatCode>0</c:formatCode>
                <c:ptCount val="4"/>
                <c:pt idx="0">
                  <c:v>36.762444499558391</c:v>
                </c:pt>
                <c:pt idx="1">
                  <c:v>13.295257636144456</c:v>
                </c:pt>
                <c:pt idx="2">
                  <c:v>37.388586811330519</c:v>
                </c:pt>
                <c:pt idx="3">
                  <c:v>11.603777115387356</c:v>
                </c:pt>
              </c:numCache>
            </c:numRef>
          </c:val>
        </c:ser>
        <c:ser>
          <c:idx val="1"/>
          <c:order val="1"/>
          <c:tx>
            <c:strRef>
              <c:f>Sheet6!$A$54</c:f>
              <c:strCache>
                <c:ptCount val="1"/>
                <c:pt idx="0">
                  <c:v>Used to smoke</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Sheet6!$B$52:$E$52</c:f>
              <c:strCache>
                <c:ptCount val="4"/>
                <c:pt idx="0">
                  <c:v>Most Deprived Males</c:v>
                </c:pt>
                <c:pt idx="1">
                  <c:v>Least Deprived Males</c:v>
                </c:pt>
                <c:pt idx="2">
                  <c:v>Most Deprived Females</c:v>
                </c:pt>
                <c:pt idx="3">
                  <c:v>Least Deprived Females</c:v>
                </c:pt>
              </c:strCache>
            </c:strRef>
          </c:cat>
          <c:val>
            <c:numRef>
              <c:f>Sheet6!$B$54:$E$54</c:f>
              <c:numCache>
                <c:formatCode>0</c:formatCode>
                <c:ptCount val="4"/>
                <c:pt idx="0">
                  <c:v>26.127550262043798</c:v>
                </c:pt>
                <c:pt idx="1">
                  <c:v>38.033747978431158</c:v>
                </c:pt>
                <c:pt idx="2">
                  <c:v>23.600518112390311</c:v>
                </c:pt>
                <c:pt idx="3">
                  <c:v>26.318968456648147</c:v>
                </c:pt>
              </c:numCache>
            </c:numRef>
          </c:val>
        </c:ser>
        <c:ser>
          <c:idx val="2"/>
          <c:order val="2"/>
          <c:tx>
            <c:strRef>
              <c:f>Sheet6!$A$55</c:f>
              <c:strCache>
                <c:ptCount val="1"/>
                <c:pt idx="0">
                  <c:v>Never smoked</c:v>
                </c:pt>
              </c:strCache>
            </c:strRef>
          </c:tx>
          <c:spPr>
            <a:solidFill>
              <a:srgbClr val="CCFFCC"/>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Sheet6!$B$52:$E$52</c:f>
              <c:strCache>
                <c:ptCount val="4"/>
                <c:pt idx="0">
                  <c:v>Most Deprived Males</c:v>
                </c:pt>
                <c:pt idx="1">
                  <c:v>Least Deprived Males</c:v>
                </c:pt>
                <c:pt idx="2">
                  <c:v>Most Deprived Females</c:v>
                </c:pt>
                <c:pt idx="3">
                  <c:v>Least Deprived Females</c:v>
                </c:pt>
              </c:strCache>
            </c:strRef>
          </c:cat>
          <c:val>
            <c:numRef>
              <c:f>Sheet6!$B$55:$E$55</c:f>
              <c:numCache>
                <c:formatCode>0</c:formatCode>
                <c:ptCount val="4"/>
                <c:pt idx="0">
                  <c:v>37.110005238397783</c:v>
                </c:pt>
                <c:pt idx="1">
                  <c:v>48.460490496119327</c:v>
                </c:pt>
                <c:pt idx="2">
                  <c:v>39.010895076279304</c:v>
                </c:pt>
                <c:pt idx="3">
                  <c:v>62.077254427964895</c:v>
                </c:pt>
              </c:numCache>
            </c:numRef>
          </c:val>
        </c:ser>
        <c:dLbls>
          <c:showLegendKey val="0"/>
          <c:showVal val="1"/>
          <c:showCatName val="0"/>
          <c:showSerName val="0"/>
          <c:showPercent val="0"/>
          <c:showBubbleSize val="0"/>
        </c:dLbls>
        <c:gapWidth val="70"/>
        <c:overlap val="100"/>
        <c:axId val="172377600"/>
        <c:axId val="172379136"/>
      </c:barChart>
      <c:catAx>
        <c:axId val="172377600"/>
        <c:scaling>
          <c:orientation val="minMax"/>
        </c:scaling>
        <c:delete val="0"/>
        <c:axPos val="b"/>
        <c:majorTickMark val="out"/>
        <c:minorTickMark val="none"/>
        <c:tickLblPos val="nextTo"/>
        <c:txPr>
          <a:bodyPr/>
          <a:lstStyle/>
          <a:p>
            <a:pPr>
              <a:defRPr sz="900"/>
            </a:pPr>
            <a:endParaRPr lang="en-US"/>
          </a:p>
        </c:txPr>
        <c:crossAx val="172379136"/>
        <c:crosses val="autoZero"/>
        <c:auto val="1"/>
        <c:lblAlgn val="ctr"/>
        <c:lblOffset val="100"/>
        <c:noMultiLvlLbl val="0"/>
      </c:catAx>
      <c:valAx>
        <c:axId val="172379136"/>
        <c:scaling>
          <c:orientation val="minMax"/>
          <c:max val="100"/>
        </c:scaling>
        <c:delete val="0"/>
        <c:axPos val="l"/>
        <c:title>
          <c:tx>
            <c:rich>
              <a:bodyPr rot="0" vert="horz"/>
              <a:lstStyle/>
              <a:p>
                <a:pPr>
                  <a:defRPr sz="900"/>
                </a:pPr>
                <a:r>
                  <a:rPr lang="en-GB" sz="900"/>
                  <a:t>%</a:t>
                </a:r>
              </a:p>
            </c:rich>
          </c:tx>
          <c:layout>
            <c:manualLayout>
              <c:xMode val="edge"/>
              <c:yMode val="edge"/>
              <c:x val="1.0383063350561353E-3"/>
              <c:y val="0.39946865079365168"/>
            </c:manualLayout>
          </c:layout>
          <c:overlay val="0"/>
        </c:title>
        <c:numFmt formatCode="0" sourceLinked="1"/>
        <c:majorTickMark val="out"/>
        <c:minorTickMark val="none"/>
        <c:tickLblPos val="nextTo"/>
        <c:txPr>
          <a:bodyPr/>
          <a:lstStyle/>
          <a:p>
            <a:pPr>
              <a:defRPr sz="900"/>
            </a:pPr>
            <a:endParaRPr lang="en-US"/>
          </a:p>
        </c:txPr>
        <c:crossAx val="172377600"/>
        <c:crosses val="autoZero"/>
        <c:crossBetween val="between"/>
        <c:majorUnit val="20"/>
      </c:valAx>
    </c:plotArea>
    <c:legend>
      <c:legendPos val="b"/>
      <c:layout>
        <c:manualLayout>
          <c:xMode val="edge"/>
          <c:yMode val="edge"/>
          <c:x val="0"/>
          <c:y val="0.9246701388888926"/>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Age Current Smokers First Started Smoking</a:t>
            </a:r>
          </a:p>
        </c:rich>
      </c:tx>
      <c:layout>
        <c:manualLayout>
          <c:xMode val="edge"/>
          <c:yMode val="edge"/>
          <c:x val="2.3158151742660228E-3"/>
          <c:y val="0"/>
        </c:manualLayout>
      </c:layout>
      <c:overlay val="0"/>
    </c:title>
    <c:autoTitleDeleted val="0"/>
    <c:plotArea>
      <c:layout>
        <c:manualLayout>
          <c:layoutTarget val="inner"/>
          <c:xMode val="edge"/>
          <c:yMode val="edge"/>
          <c:x val="9.7231886711835441E-2"/>
          <c:y val="0.1342980158730159"/>
          <c:w val="0.9027679648151995"/>
          <c:h val="0.72096031746031763"/>
        </c:manualLayout>
      </c:layout>
      <c:barChart>
        <c:barDir val="col"/>
        <c:grouping val="clustered"/>
        <c:varyColors val="0"/>
        <c:ser>
          <c:idx val="0"/>
          <c:order val="0"/>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Sheet10!$B$48:$B$54</c:f>
              <c:strCache>
                <c:ptCount val="7"/>
                <c:pt idx="0">
                  <c:v>&lt;12</c:v>
                </c:pt>
                <c:pt idx="1">
                  <c:v>12-13</c:v>
                </c:pt>
                <c:pt idx="2">
                  <c:v>14-15</c:v>
                </c:pt>
                <c:pt idx="3">
                  <c:v>16-17</c:v>
                </c:pt>
                <c:pt idx="4">
                  <c:v>18-19</c:v>
                </c:pt>
                <c:pt idx="5">
                  <c:v>20-24</c:v>
                </c:pt>
                <c:pt idx="6">
                  <c:v>25+</c:v>
                </c:pt>
              </c:strCache>
            </c:strRef>
          </c:cat>
          <c:val>
            <c:numRef>
              <c:f>Sheet10!$C$48:$C$54</c:f>
              <c:numCache>
                <c:formatCode>0</c:formatCode>
                <c:ptCount val="7"/>
                <c:pt idx="0">
                  <c:v>5.1937194539541824</c:v>
                </c:pt>
                <c:pt idx="1">
                  <c:v>12.051420338418056</c:v>
                </c:pt>
                <c:pt idx="2">
                  <c:v>28.101229435209859</c:v>
                </c:pt>
                <c:pt idx="3">
                  <c:v>24.923836686128812</c:v>
                </c:pt>
                <c:pt idx="4">
                  <c:v>15.00335467506137</c:v>
                </c:pt>
                <c:pt idx="5">
                  <c:v>9.8318595202516637</c:v>
                </c:pt>
                <c:pt idx="6">
                  <c:v>4.8945798909756375</c:v>
                </c:pt>
              </c:numCache>
            </c:numRef>
          </c:val>
        </c:ser>
        <c:dLbls>
          <c:showLegendKey val="0"/>
          <c:showVal val="0"/>
          <c:showCatName val="0"/>
          <c:showSerName val="0"/>
          <c:showPercent val="0"/>
          <c:showBubbleSize val="0"/>
        </c:dLbls>
        <c:gapWidth val="150"/>
        <c:axId val="172412928"/>
        <c:axId val="172414464"/>
      </c:barChart>
      <c:catAx>
        <c:axId val="172412928"/>
        <c:scaling>
          <c:orientation val="minMax"/>
        </c:scaling>
        <c:delete val="0"/>
        <c:axPos val="b"/>
        <c:majorTickMark val="out"/>
        <c:minorTickMark val="none"/>
        <c:tickLblPos val="nextTo"/>
        <c:txPr>
          <a:bodyPr/>
          <a:lstStyle/>
          <a:p>
            <a:pPr>
              <a:defRPr sz="900"/>
            </a:pPr>
            <a:endParaRPr lang="en-US"/>
          </a:p>
        </c:txPr>
        <c:crossAx val="172414464"/>
        <c:crosses val="autoZero"/>
        <c:auto val="1"/>
        <c:lblAlgn val="ctr"/>
        <c:lblOffset val="100"/>
        <c:noMultiLvlLbl val="0"/>
      </c:catAx>
      <c:valAx>
        <c:axId val="172414464"/>
        <c:scaling>
          <c:orientation val="minMax"/>
          <c:max val="3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2412928"/>
        <c:crosses val="autoZero"/>
        <c:crossBetween val="between"/>
        <c:majorUnit val="10"/>
      </c:valAx>
    </c:plotArea>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Smoking in</a:t>
            </a:r>
            <a:r>
              <a:rPr lang="en-GB" sz="1000" baseline="0"/>
              <a:t> the home by Deprivation</a:t>
            </a:r>
            <a:endParaRPr lang="en-GB" sz="1000"/>
          </a:p>
        </c:rich>
      </c:tx>
      <c:layout>
        <c:manualLayout>
          <c:xMode val="edge"/>
          <c:yMode val="edge"/>
          <c:x val="1.202645820805794E-3"/>
          <c:y val="0"/>
        </c:manualLayout>
      </c:layout>
      <c:overlay val="0"/>
    </c:title>
    <c:autoTitleDeleted val="0"/>
    <c:plotArea>
      <c:layout>
        <c:manualLayout>
          <c:layoutTarget val="inner"/>
          <c:xMode val="edge"/>
          <c:yMode val="edge"/>
          <c:x val="0.11257619824548973"/>
          <c:y val="0.1188781746031746"/>
          <c:w val="0.88702245552639269"/>
          <c:h val="0.62749246031746031"/>
        </c:manualLayout>
      </c:layout>
      <c:barChart>
        <c:barDir val="col"/>
        <c:grouping val="clustered"/>
        <c:varyColors val="0"/>
        <c:ser>
          <c:idx val="0"/>
          <c:order val="0"/>
          <c:tx>
            <c:strRef>
              <c:f>House!$A$24</c:f>
              <c:strCache>
                <c:ptCount val="1"/>
                <c:pt idx="0">
                  <c:v>No, not at all</c:v>
                </c:pt>
              </c:strCache>
            </c:strRef>
          </c:tx>
          <c:spPr>
            <a:solidFill>
              <a:srgbClr val="3366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House!$B$23:$F$23</c:f>
              <c:strCache>
                <c:ptCount val="5"/>
                <c:pt idx="0">
                  <c:v>Most Deprived</c:v>
                </c:pt>
                <c:pt idx="1">
                  <c:v>Q2</c:v>
                </c:pt>
                <c:pt idx="2">
                  <c:v>Q3</c:v>
                </c:pt>
                <c:pt idx="3">
                  <c:v>Q4 </c:v>
                </c:pt>
                <c:pt idx="4">
                  <c:v>Least Deprived</c:v>
                </c:pt>
              </c:strCache>
            </c:strRef>
          </c:cat>
          <c:val>
            <c:numRef>
              <c:f>House!$B$24:$F$24</c:f>
              <c:numCache>
                <c:formatCode>0</c:formatCode>
                <c:ptCount val="5"/>
                <c:pt idx="0">
                  <c:v>65.213892930390202</c:v>
                </c:pt>
                <c:pt idx="1">
                  <c:v>74.161611823632228</c:v>
                </c:pt>
                <c:pt idx="2">
                  <c:v>78.374054259357422</c:v>
                </c:pt>
                <c:pt idx="3">
                  <c:v>82.830360386627248</c:v>
                </c:pt>
                <c:pt idx="4">
                  <c:v>88.400940691178377</c:v>
                </c:pt>
              </c:numCache>
            </c:numRef>
          </c:val>
        </c:ser>
        <c:ser>
          <c:idx val="1"/>
          <c:order val="1"/>
          <c:tx>
            <c:strRef>
              <c:f>House!$A$25</c:f>
              <c:strCache>
                <c:ptCount val="1"/>
                <c:pt idx="0">
                  <c:v>Yes, but only in certain places and/or certain occasions</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House!$B$23:$F$23</c:f>
              <c:strCache>
                <c:ptCount val="5"/>
                <c:pt idx="0">
                  <c:v>Most Deprived</c:v>
                </c:pt>
                <c:pt idx="1">
                  <c:v>Q2</c:v>
                </c:pt>
                <c:pt idx="2">
                  <c:v>Q3</c:v>
                </c:pt>
                <c:pt idx="3">
                  <c:v>Q4 </c:v>
                </c:pt>
                <c:pt idx="4">
                  <c:v>Least Deprived</c:v>
                </c:pt>
              </c:strCache>
            </c:strRef>
          </c:cat>
          <c:val>
            <c:numRef>
              <c:f>House!$B$25:$F$25</c:f>
              <c:numCache>
                <c:formatCode>0</c:formatCode>
                <c:ptCount val="5"/>
                <c:pt idx="0">
                  <c:v>20.225234196866484</c:v>
                </c:pt>
                <c:pt idx="1">
                  <c:v>14.105491344263624</c:v>
                </c:pt>
                <c:pt idx="2">
                  <c:v>11.67546132806415</c:v>
                </c:pt>
                <c:pt idx="3">
                  <c:v>9.9921990240140328</c:v>
                </c:pt>
                <c:pt idx="4">
                  <c:v>5.8121789469668332</c:v>
                </c:pt>
              </c:numCache>
            </c:numRef>
          </c:val>
        </c:ser>
        <c:ser>
          <c:idx val="2"/>
          <c:order val="2"/>
          <c:tx>
            <c:strRef>
              <c:f>House!$A$26</c:f>
              <c:strCache>
                <c:ptCount val="1"/>
                <c:pt idx="0">
                  <c:v>Yes, anywhere</c:v>
                </c:pt>
              </c:strCache>
            </c:strRef>
          </c:tx>
          <c:spPr>
            <a:solidFill>
              <a:srgbClr val="CCFFCC"/>
            </a:solidFill>
            <a:ln>
              <a:solidFill>
                <a:srgbClr val="4F81BD">
                  <a:lumMod val="40000"/>
                  <a:lumOff val="60000"/>
                </a:srgbClr>
              </a:solidFill>
            </a:ln>
          </c:spPr>
          <c:invertIfNegative val="0"/>
          <c:dLbls>
            <c:txPr>
              <a:bodyPr/>
              <a:lstStyle/>
              <a:p>
                <a:pPr>
                  <a:defRPr sz="900"/>
                </a:pPr>
                <a:endParaRPr lang="en-US"/>
              </a:p>
            </c:txPr>
            <c:showLegendKey val="0"/>
            <c:showVal val="1"/>
            <c:showCatName val="0"/>
            <c:showSerName val="0"/>
            <c:showPercent val="0"/>
            <c:showBubbleSize val="0"/>
            <c:showLeaderLines val="0"/>
          </c:dLbls>
          <c:cat>
            <c:strRef>
              <c:f>House!$B$23:$F$23</c:f>
              <c:strCache>
                <c:ptCount val="5"/>
                <c:pt idx="0">
                  <c:v>Most Deprived</c:v>
                </c:pt>
                <c:pt idx="1">
                  <c:v>Q2</c:v>
                </c:pt>
                <c:pt idx="2">
                  <c:v>Q3</c:v>
                </c:pt>
                <c:pt idx="3">
                  <c:v>Q4 </c:v>
                </c:pt>
                <c:pt idx="4">
                  <c:v>Least Deprived</c:v>
                </c:pt>
              </c:strCache>
            </c:strRef>
          </c:cat>
          <c:val>
            <c:numRef>
              <c:f>House!$B$26:$F$26</c:f>
              <c:numCache>
                <c:formatCode>0</c:formatCode>
                <c:ptCount val="5"/>
                <c:pt idx="0">
                  <c:v>14.56087287274342</c:v>
                </c:pt>
                <c:pt idx="1">
                  <c:v>11.732896832104121</c:v>
                </c:pt>
                <c:pt idx="2">
                  <c:v>9.9504844125786285</c:v>
                </c:pt>
                <c:pt idx="3">
                  <c:v>7.1774405893587057</c:v>
                </c:pt>
                <c:pt idx="4">
                  <c:v>5.7868803618563165</c:v>
                </c:pt>
              </c:numCache>
            </c:numRef>
          </c:val>
        </c:ser>
        <c:dLbls>
          <c:showLegendKey val="0"/>
          <c:showVal val="1"/>
          <c:showCatName val="0"/>
          <c:showSerName val="0"/>
          <c:showPercent val="0"/>
          <c:showBubbleSize val="0"/>
        </c:dLbls>
        <c:gapWidth val="150"/>
        <c:axId val="172470656"/>
        <c:axId val="172472192"/>
      </c:barChart>
      <c:catAx>
        <c:axId val="172470656"/>
        <c:scaling>
          <c:orientation val="minMax"/>
        </c:scaling>
        <c:delete val="0"/>
        <c:axPos val="b"/>
        <c:majorTickMark val="out"/>
        <c:minorTickMark val="none"/>
        <c:tickLblPos val="nextTo"/>
        <c:txPr>
          <a:bodyPr/>
          <a:lstStyle/>
          <a:p>
            <a:pPr>
              <a:defRPr sz="900"/>
            </a:pPr>
            <a:endParaRPr lang="en-US"/>
          </a:p>
        </c:txPr>
        <c:crossAx val="172472192"/>
        <c:crosses val="autoZero"/>
        <c:auto val="1"/>
        <c:lblAlgn val="ctr"/>
        <c:lblOffset val="100"/>
        <c:noMultiLvlLbl val="0"/>
      </c:catAx>
      <c:valAx>
        <c:axId val="172472192"/>
        <c:scaling>
          <c:orientation val="minMax"/>
        </c:scaling>
        <c:delete val="0"/>
        <c:axPos val="l"/>
        <c:title>
          <c:tx>
            <c:rich>
              <a:bodyPr rot="0" vert="horz"/>
              <a:lstStyle/>
              <a:p>
                <a:pPr>
                  <a:defRPr sz="900"/>
                </a:pPr>
                <a:r>
                  <a:rPr lang="en-GB" sz="900"/>
                  <a:t>%</a:t>
                </a:r>
              </a:p>
            </c:rich>
          </c:tx>
          <c:layout>
            <c:manualLayout>
              <c:xMode val="edge"/>
              <c:yMode val="edge"/>
              <c:x val="2.0157942812214611E-3"/>
              <c:y val="0.39738412698412789"/>
            </c:manualLayout>
          </c:layout>
          <c:overlay val="0"/>
        </c:title>
        <c:numFmt formatCode="0" sourceLinked="1"/>
        <c:majorTickMark val="out"/>
        <c:minorTickMark val="none"/>
        <c:tickLblPos val="nextTo"/>
        <c:txPr>
          <a:bodyPr/>
          <a:lstStyle/>
          <a:p>
            <a:pPr>
              <a:defRPr sz="900"/>
            </a:pPr>
            <a:endParaRPr lang="en-US"/>
          </a:p>
        </c:txPr>
        <c:crossAx val="172470656"/>
        <c:crosses val="autoZero"/>
        <c:crossBetween val="between"/>
        <c:majorUnit val="20"/>
      </c:valAx>
    </c:plotArea>
    <c:legend>
      <c:legendPos val="b"/>
      <c:layout>
        <c:manualLayout>
          <c:xMode val="edge"/>
          <c:yMode val="edge"/>
          <c:x val="0"/>
          <c:y val="0.8592845238095238"/>
          <c:w val="1"/>
          <c:h val="0.1370507936507937"/>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Health in General by Deprivation</a:t>
            </a:r>
          </a:p>
        </c:rich>
      </c:tx>
      <c:layout>
        <c:manualLayout>
          <c:xMode val="edge"/>
          <c:yMode val="edge"/>
          <c:x val="1.1224694327520621E-3"/>
          <c:y val="0"/>
        </c:manualLayout>
      </c:layout>
      <c:overlay val="0"/>
    </c:title>
    <c:autoTitleDeleted val="0"/>
    <c:plotArea>
      <c:layout>
        <c:manualLayout>
          <c:layoutTarget val="inner"/>
          <c:xMode val="edge"/>
          <c:yMode val="edge"/>
          <c:x val="8.3022419554384067E-2"/>
          <c:y val="0.11481592592592593"/>
          <c:w val="0.90829141951969772"/>
          <c:h val="0.68491296296296145"/>
        </c:manualLayout>
      </c:layout>
      <c:barChart>
        <c:barDir val="col"/>
        <c:grouping val="stacked"/>
        <c:varyColors val="0"/>
        <c:ser>
          <c:idx val="0"/>
          <c:order val="0"/>
          <c:tx>
            <c:strRef>
              <c:f>'General Health'!$A$34</c:f>
              <c:strCache>
                <c:ptCount val="1"/>
                <c:pt idx="0">
                  <c:v>Very 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Health'!$L$33:$P$33</c:f>
              <c:strCache>
                <c:ptCount val="5"/>
                <c:pt idx="0">
                  <c:v>Most Deprived</c:v>
                </c:pt>
                <c:pt idx="1">
                  <c:v>Q2</c:v>
                </c:pt>
                <c:pt idx="2">
                  <c:v>Q3</c:v>
                </c:pt>
                <c:pt idx="3">
                  <c:v>Q4 </c:v>
                </c:pt>
                <c:pt idx="4">
                  <c:v>Least Deprived</c:v>
                </c:pt>
              </c:strCache>
            </c:strRef>
          </c:cat>
          <c:val>
            <c:numRef>
              <c:f>'General Health'!$L$34:$P$34</c:f>
              <c:numCache>
                <c:formatCode>0</c:formatCode>
                <c:ptCount val="5"/>
                <c:pt idx="0">
                  <c:v>27.211545516389823</c:v>
                </c:pt>
                <c:pt idx="1">
                  <c:v>28.347034733468284</c:v>
                </c:pt>
                <c:pt idx="2">
                  <c:v>32.082055193289357</c:v>
                </c:pt>
                <c:pt idx="3">
                  <c:v>36.224506054317729</c:v>
                </c:pt>
                <c:pt idx="4">
                  <c:v>36.856676593112589</c:v>
                </c:pt>
              </c:numCache>
            </c:numRef>
          </c:val>
        </c:ser>
        <c:ser>
          <c:idx val="1"/>
          <c:order val="1"/>
          <c:tx>
            <c:strRef>
              <c:f>'General Health'!$A$35</c:f>
              <c:strCache>
                <c:ptCount val="1"/>
                <c:pt idx="0">
                  <c:v>Good</c:v>
                </c:pt>
              </c:strCache>
            </c:strRef>
          </c:tx>
          <c:spPr>
            <a:solidFill>
              <a:srgbClr val="4F81BD"/>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'General Health'!$L$33:$P$33</c:f>
              <c:strCache>
                <c:ptCount val="5"/>
                <c:pt idx="0">
                  <c:v>Most Deprived</c:v>
                </c:pt>
                <c:pt idx="1">
                  <c:v>Q2</c:v>
                </c:pt>
                <c:pt idx="2">
                  <c:v>Q3</c:v>
                </c:pt>
                <c:pt idx="3">
                  <c:v>Q4 </c:v>
                </c:pt>
                <c:pt idx="4">
                  <c:v>Least Deprived</c:v>
                </c:pt>
              </c:strCache>
            </c:strRef>
          </c:cat>
          <c:val>
            <c:numRef>
              <c:f>'General Health'!$L$35:$P$35</c:f>
              <c:numCache>
                <c:formatCode>0</c:formatCode>
                <c:ptCount val="5"/>
                <c:pt idx="0">
                  <c:v>35.338454166661997</c:v>
                </c:pt>
                <c:pt idx="1">
                  <c:v>40.112508598304053</c:v>
                </c:pt>
                <c:pt idx="2">
                  <c:v>43.847224046705996</c:v>
                </c:pt>
                <c:pt idx="3">
                  <c:v>37.820454153935998</c:v>
                </c:pt>
                <c:pt idx="4">
                  <c:v>43.127477328946938</c:v>
                </c:pt>
              </c:numCache>
            </c:numRef>
          </c:val>
        </c:ser>
        <c:ser>
          <c:idx val="2"/>
          <c:order val="2"/>
          <c:tx>
            <c:strRef>
              <c:f>'General Health'!$A$36</c:f>
              <c:strCache>
                <c:ptCount val="1"/>
                <c:pt idx="0">
                  <c:v>Fair</c:v>
                </c:pt>
              </c:strCache>
            </c:strRef>
          </c:tx>
          <c:spPr>
            <a:solidFill>
              <a:srgbClr val="4F81BD">
                <a:lumMod val="60000"/>
                <a:lumOff val="4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'General Health'!$L$33:$P$33</c:f>
              <c:strCache>
                <c:ptCount val="5"/>
                <c:pt idx="0">
                  <c:v>Most Deprived</c:v>
                </c:pt>
                <c:pt idx="1">
                  <c:v>Q2</c:v>
                </c:pt>
                <c:pt idx="2">
                  <c:v>Q3</c:v>
                </c:pt>
                <c:pt idx="3">
                  <c:v>Q4 </c:v>
                </c:pt>
                <c:pt idx="4">
                  <c:v>Least Deprived</c:v>
                </c:pt>
              </c:strCache>
            </c:strRef>
          </c:cat>
          <c:val>
            <c:numRef>
              <c:f>'General Health'!$L$36:$P$36</c:f>
              <c:numCache>
                <c:formatCode>0</c:formatCode>
                <c:ptCount val="5"/>
                <c:pt idx="0">
                  <c:v>20.25478708859157</c:v>
                </c:pt>
                <c:pt idx="1">
                  <c:v>22.431161057179601</c:v>
                </c:pt>
                <c:pt idx="2">
                  <c:v>18.214362425921927</c:v>
                </c:pt>
                <c:pt idx="3">
                  <c:v>17.734350640180946</c:v>
                </c:pt>
                <c:pt idx="4">
                  <c:v>14.804689222574122</c:v>
                </c:pt>
              </c:numCache>
            </c:numRef>
          </c:val>
        </c:ser>
        <c:ser>
          <c:idx val="3"/>
          <c:order val="3"/>
          <c:tx>
            <c:strRef>
              <c:f>'General Health'!$A$37</c:f>
              <c:strCache>
                <c:ptCount val="1"/>
                <c:pt idx="0">
                  <c:v>Bad / Very Bad</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'General Health'!$L$33:$P$33</c:f>
              <c:strCache>
                <c:ptCount val="5"/>
                <c:pt idx="0">
                  <c:v>Most Deprived</c:v>
                </c:pt>
                <c:pt idx="1">
                  <c:v>Q2</c:v>
                </c:pt>
                <c:pt idx="2">
                  <c:v>Q3</c:v>
                </c:pt>
                <c:pt idx="3">
                  <c:v>Q4 </c:v>
                </c:pt>
                <c:pt idx="4">
                  <c:v>Least Deprived</c:v>
                </c:pt>
              </c:strCache>
            </c:strRef>
          </c:cat>
          <c:val>
            <c:numRef>
              <c:f>'General Health'!$L$37:$P$37</c:f>
              <c:numCache>
                <c:formatCode>0</c:formatCode>
                <c:ptCount val="5"/>
                <c:pt idx="0">
                  <c:v>17.195213228356632</c:v>
                </c:pt>
                <c:pt idx="1">
                  <c:v>9.1092956110480507</c:v>
                </c:pt>
                <c:pt idx="2">
                  <c:v>5.8563583340828824</c:v>
                </c:pt>
                <c:pt idx="3">
                  <c:v>8.2206891515653897</c:v>
                </c:pt>
                <c:pt idx="4">
                  <c:v>5.2111568553655845</c:v>
                </c:pt>
              </c:numCache>
            </c:numRef>
          </c:val>
        </c:ser>
        <c:dLbls>
          <c:showLegendKey val="0"/>
          <c:showVal val="1"/>
          <c:showCatName val="0"/>
          <c:showSerName val="0"/>
          <c:showPercent val="0"/>
          <c:showBubbleSize val="0"/>
        </c:dLbls>
        <c:gapWidth val="70"/>
        <c:overlap val="100"/>
        <c:axId val="110598784"/>
        <c:axId val="110604672"/>
      </c:barChart>
      <c:catAx>
        <c:axId val="110598784"/>
        <c:scaling>
          <c:orientation val="minMax"/>
        </c:scaling>
        <c:delete val="0"/>
        <c:axPos val="b"/>
        <c:majorTickMark val="out"/>
        <c:minorTickMark val="none"/>
        <c:tickLblPos val="nextTo"/>
        <c:txPr>
          <a:bodyPr/>
          <a:lstStyle/>
          <a:p>
            <a:pPr>
              <a:defRPr sz="900"/>
            </a:pPr>
            <a:endParaRPr lang="en-US"/>
          </a:p>
        </c:txPr>
        <c:crossAx val="110604672"/>
        <c:crosses val="autoZero"/>
        <c:auto val="1"/>
        <c:lblAlgn val="ctr"/>
        <c:lblOffset val="100"/>
        <c:noMultiLvlLbl val="0"/>
      </c:catAx>
      <c:valAx>
        <c:axId val="110604672"/>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10598784"/>
        <c:crosses val="autoZero"/>
        <c:crossBetween val="between"/>
        <c:majorUnit val="20"/>
      </c:valAx>
    </c:plotArea>
    <c:legend>
      <c:legendPos val="b"/>
      <c:layout>
        <c:manualLayout>
          <c:xMode val="edge"/>
          <c:yMode val="edge"/>
          <c:x val="0"/>
          <c:y val="0.92467013888889893"/>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Have Tried to Stop Smoking by Age</a:t>
            </a:r>
          </a:p>
        </c:rich>
      </c:tx>
      <c:layout>
        <c:manualLayout>
          <c:xMode val="edge"/>
          <c:yMode val="edge"/>
          <c:x val="1.4623655913978701E-3"/>
          <c:y val="0"/>
        </c:manualLayout>
      </c:layout>
      <c:overlay val="0"/>
    </c:title>
    <c:autoTitleDeleted val="0"/>
    <c:plotArea>
      <c:layout>
        <c:manualLayout>
          <c:layoutTarget val="inner"/>
          <c:xMode val="edge"/>
          <c:yMode val="edge"/>
          <c:x val="0.11122953179239688"/>
          <c:y val="0.13656111111111124"/>
          <c:w val="0.88877046820760308"/>
          <c:h val="0.72670873015873116"/>
        </c:manualLayout>
      </c:layout>
      <c:barChart>
        <c:barDir val="col"/>
        <c:grouping val="clustered"/>
        <c:varyColors val="0"/>
        <c:ser>
          <c:idx val="0"/>
          <c:order val="0"/>
          <c:tx>
            <c:strRef>
              <c:f>Sheet7!$A$4</c:f>
              <c:strCache>
                <c:ptCount val="1"/>
                <c:pt idx="0">
                  <c:v>Have tried to stop smoking</c:v>
                </c:pt>
              </c:strCache>
            </c:strRef>
          </c:tx>
          <c:spPr>
            <a:solidFill>
              <a:srgbClr val="009900"/>
            </a:solidFill>
          </c:spPr>
          <c:invertIfNegative val="0"/>
          <c:dLbls>
            <c:txPr>
              <a:bodyPr/>
              <a:lstStyle/>
              <a:p>
                <a:pPr>
                  <a:defRPr sz="800"/>
                </a:pPr>
                <a:endParaRPr lang="en-US"/>
              </a:p>
            </c:txPr>
            <c:dLblPos val="outEnd"/>
            <c:showLegendKey val="0"/>
            <c:showVal val="1"/>
            <c:showCatName val="0"/>
            <c:showSerName val="0"/>
            <c:showPercent val="0"/>
            <c:showBubbleSize val="0"/>
            <c:showLeaderLines val="0"/>
          </c:dLbls>
          <c:cat>
            <c:strRef>
              <c:f>Sheet7!$Q$3:$W$3</c:f>
              <c:strCache>
                <c:ptCount val="7"/>
                <c:pt idx="0">
                  <c:v>16-24</c:v>
                </c:pt>
                <c:pt idx="1">
                  <c:v>25-34</c:v>
                </c:pt>
                <c:pt idx="2">
                  <c:v>35-44</c:v>
                </c:pt>
                <c:pt idx="3">
                  <c:v>45-54</c:v>
                </c:pt>
                <c:pt idx="4">
                  <c:v>55-64</c:v>
                </c:pt>
                <c:pt idx="5">
                  <c:v>65-74</c:v>
                </c:pt>
                <c:pt idx="6">
                  <c:v>75+</c:v>
                </c:pt>
              </c:strCache>
            </c:strRef>
          </c:cat>
          <c:val>
            <c:numRef>
              <c:f>Sheet7!$Q$4:$W$4</c:f>
              <c:numCache>
                <c:formatCode>0</c:formatCode>
                <c:ptCount val="7"/>
                <c:pt idx="0">
                  <c:v>76.777563663828644</c:v>
                </c:pt>
                <c:pt idx="1">
                  <c:v>81.37197318713531</c:v>
                </c:pt>
                <c:pt idx="2">
                  <c:v>85.524585847857111</c:v>
                </c:pt>
                <c:pt idx="3">
                  <c:v>80.844963533193237</c:v>
                </c:pt>
                <c:pt idx="4">
                  <c:v>80.323914205521248</c:v>
                </c:pt>
                <c:pt idx="5">
                  <c:v>84.051296583641303</c:v>
                </c:pt>
                <c:pt idx="6">
                  <c:v>57.714989247017954</c:v>
                </c:pt>
              </c:numCache>
            </c:numRef>
          </c:val>
        </c:ser>
        <c:dLbls>
          <c:showLegendKey val="0"/>
          <c:showVal val="1"/>
          <c:showCatName val="0"/>
          <c:showSerName val="0"/>
          <c:showPercent val="0"/>
          <c:showBubbleSize val="0"/>
        </c:dLbls>
        <c:gapWidth val="150"/>
        <c:axId val="172480000"/>
        <c:axId val="172499328"/>
      </c:barChart>
      <c:catAx>
        <c:axId val="172480000"/>
        <c:scaling>
          <c:orientation val="minMax"/>
        </c:scaling>
        <c:delete val="0"/>
        <c:axPos val="b"/>
        <c:majorTickMark val="out"/>
        <c:minorTickMark val="none"/>
        <c:tickLblPos val="nextTo"/>
        <c:txPr>
          <a:bodyPr/>
          <a:lstStyle/>
          <a:p>
            <a:pPr>
              <a:defRPr sz="800"/>
            </a:pPr>
            <a:endParaRPr lang="en-US"/>
          </a:p>
        </c:txPr>
        <c:crossAx val="172499328"/>
        <c:crosses val="autoZero"/>
        <c:auto val="1"/>
        <c:lblAlgn val="ctr"/>
        <c:lblOffset val="100"/>
        <c:noMultiLvlLbl val="0"/>
      </c:catAx>
      <c:valAx>
        <c:axId val="172499328"/>
        <c:scaling>
          <c:orientation val="minMax"/>
        </c:scaling>
        <c:delete val="0"/>
        <c:axPos val="l"/>
        <c:title>
          <c:tx>
            <c:rich>
              <a:bodyPr rot="0" vert="horz"/>
              <a:lstStyle/>
              <a:p>
                <a:pPr>
                  <a:defRPr sz="800"/>
                </a:pPr>
                <a:r>
                  <a:rPr lang="en-GB" sz="800"/>
                  <a:t>%</a:t>
                </a:r>
              </a:p>
            </c:rich>
          </c:tx>
          <c:overlay val="0"/>
        </c:title>
        <c:numFmt formatCode="0" sourceLinked="1"/>
        <c:majorTickMark val="out"/>
        <c:minorTickMark val="none"/>
        <c:tickLblPos val="nextTo"/>
        <c:txPr>
          <a:bodyPr/>
          <a:lstStyle/>
          <a:p>
            <a:pPr>
              <a:defRPr sz="800"/>
            </a:pPr>
            <a:endParaRPr lang="en-US"/>
          </a:p>
        </c:txPr>
        <c:crossAx val="172480000"/>
        <c:crosses val="autoZero"/>
        <c:crossBetween val="between"/>
        <c:majorUnit val="20"/>
      </c:valAx>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Use of Alcohol Among M</a:t>
            </a:r>
            <a:r>
              <a:rPr lang="en-GB" sz="1000" baseline="0"/>
              <a:t>ales by Age</a:t>
            </a:r>
            <a:endParaRPr lang="en-GB" sz="1000"/>
          </a:p>
        </c:rich>
      </c:tx>
      <c:layout>
        <c:manualLayout>
          <c:xMode val="edge"/>
          <c:yMode val="edge"/>
          <c:x val="2.1019444641491897E-3"/>
          <c:y val="0"/>
        </c:manualLayout>
      </c:layout>
      <c:overlay val="0"/>
    </c:title>
    <c:autoTitleDeleted val="0"/>
    <c:plotArea>
      <c:layout>
        <c:manualLayout>
          <c:layoutTarget val="inner"/>
          <c:xMode val="edge"/>
          <c:yMode val="edge"/>
          <c:x val="0.11261497718190648"/>
          <c:y val="0.12941626984127025"/>
          <c:w val="0.88692629637511655"/>
          <c:h val="0.65521071428571465"/>
        </c:manualLayout>
      </c:layout>
      <c:barChart>
        <c:barDir val="col"/>
        <c:grouping val="clustered"/>
        <c:varyColors val="0"/>
        <c:ser>
          <c:idx val="0"/>
          <c:order val="0"/>
          <c:tx>
            <c:strRef>
              <c:f>Drinking!$A$20</c:f>
              <c:strCache>
                <c:ptCount val="1"/>
                <c:pt idx="0">
                  <c:v>Drinks alcohol</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Drinking!$B$19:$H$19</c:f>
              <c:strCache>
                <c:ptCount val="7"/>
                <c:pt idx="0">
                  <c:v>18-24</c:v>
                </c:pt>
                <c:pt idx="1">
                  <c:v>25-34</c:v>
                </c:pt>
                <c:pt idx="2">
                  <c:v>35-44</c:v>
                </c:pt>
                <c:pt idx="3">
                  <c:v>45-54</c:v>
                </c:pt>
                <c:pt idx="4">
                  <c:v>55-64</c:v>
                </c:pt>
                <c:pt idx="5">
                  <c:v>65-74</c:v>
                </c:pt>
                <c:pt idx="6">
                  <c:v>75+</c:v>
                </c:pt>
              </c:strCache>
            </c:strRef>
          </c:cat>
          <c:val>
            <c:numRef>
              <c:f>Drinking!$B$20:$H$20</c:f>
              <c:numCache>
                <c:formatCode>0</c:formatCode>
                <c:ptCount val="7"/>
                <c:pt idx="0">
                  <c:v>82.918299470320036</c:v>
                </c:pt>
                <c:pt idx="1">
                  <c:v>91.195039014030158</c:v>
                </c:pt>
                <c:pt idx="2">
                  <c:v>88.7879456204614</c:v>
                </c:pt>
                <c:pt idx="3">
                  <c:v>82.436492951439789</c:v>
                </c:pt>
                <c:pt idx="4">
                  <c:v>77.108005061428443</c:v>
                </c:pt>
                <c:pt idx="5">
                  <c:v>72.939172606620858</c:v>
                </c:pt>
                <c:pt idx="6">
                  <c:v>65.232129173431019</c:v>
                </c:pt>
              </c:numCache>
            </c:numRef>
          </c:val>
        </c:ser>
        <c:ser>
          <c:idx val="1"/>
          <c:order val="1"/>
          <c:tx>
            <c:strRef>
              <c:f>Drinking!$A$21</c:f>
              <c:strCache>
                <c:ptCount val="1"/>
                <c:pt idx="0">
                  <c:v>Never drank alcohol</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Drinking!$B$19:$H$19</c:f>
              <c:strCache>
                <c:ptCount val="7"/>
                <c:pt idx="0">
                  <c:v>18-24</c:v>
                </c:pt>
                <c:pt idx="1">
                  <c:v>25-34</c:v>
                </c:pt>
                <c:pt idx="2">
                  <c:v>35-44</c:v>
                </c:pt>
                <c:pt idx="3">
                  <c:v>45-54</c:v>
                </c:pt>
                <c:pt idx="4">
                  <c:v>55-64</c:v>
                </c:pt>
                <c:pt idx="5">
                  <c:v>65-74</c:v>
                </c:pt>
                <c:pt idx="6">
                  <c:v>75+</c:v>
                </c:pt>
              </c:strCache>
            </c:strRef>
          </c:cat>
          <c:val>
            <c:numRef>
              <c:f>Drinking!$B$21:$H$21</c:f>
              <c:numCache>
                <c:formatCode>0</c:formatCode>
                <c:ptCount val="7"/>
                <c:pt idx="0">
                  <c:v>13.223545929392285</c:v>
                </c:pt>
                <c:pt idx="1">
                  <c:v>5.1237459616563745</c:v>
                </c:pt>
                <c:pt idx="2">
                  <c:v>6.6291266379868645</c:v>
                </c:pt>
                <c:pt idx="3">
                  <c:v>8.9923385818857291</c:v>
                </c:pt>
                <c:pt idx="4">
                  <c:v>12.650121743188498</c:v>
                </c:pt>
                <c:pt idx="5">
                  <c:v>16.522896386278127</c:v>
                </c:pt>
                <c:pt idx="6">
                  <c:v>21.752020687451822</c:v>
                </c:pt>
              </c:numCache>
            </c:numRef>
          </c:val>
        </c:ser>
        <c:dLbls>
          <c:showLegendKey val="0"/>
          <c:showVal val="1"/>
          <c:showCatName val="0"/>
          <c:showSerName val="0"/>
          <c:showPercent val="0"/>
          <c:showBubbleSize val="0"/>
        </c:dLbls>
        <c:gapWidth val="150"/>
        <c:axId val="172537728"/>
        <c:axId val="172539264"/>
      </c:barChart>
      <c:catAx>
        <c:axId val="172537728"/>
        <c:scaling>
          <c:orientation val="minMax"/>
        </c:scaling>
        <c:delete val="0"/>
        <c:axPos val="b"/>
        <c:majorTickMark val="out"/>
        <c:minorTickMark val="none"/>
        <c:tickLblPos val="nextTo"/>
        <c:txPr>
          <a:bodyPr/>
          <a:lstStyle/>
          <a:p>
            <a:pPr>
              <a:defRPr sz="900"/>
            </a:pPr>
            <a:endParaRPr lang="en-US"/>
          </a:p>
        </c:txPr>
        <c:crossAx val="172539264"/>
        <c:crosses val="autoZero"/>
        <c:auto val="1"/>
        <c:lblAlgn val="ctr"/>
        <c:lblOffset val="100"/>
        <c:noMultiLvlLbl val="0"/>
      </c:catAx>
      <c:valAx>
        <c:axId val="172539264"/>
        <c:scaling>
          <c:orientation val="minMax"/>
        </c:scaling>
        <c:delete val="0"/>
        <c:axPos val="l"/>
        <c:title>
          <c:tx>
            <c:rich>
              <a:bodyPr rot="0" vert="horz"/>
              <a:lstStyle/>
              <a:p>
                <a:pPr>
                  <a:defRPr sz="900"/>
                </a:pPr>
                <a:r>
                  <a:rPr lang="en-GB" sz="900"/>
                  <a:t>%</a:t>
                </a:r>
              </a:p>
            </c:rich>
          </c:tx>
          <c:layout>
            <c:manualLayout>
              <c:xMode val="edge"/>
              <c:yMode val="edge"/>
              <c:x val="2.0546440505509514E-3"/>
              <c:y val="0.39658293650793697"/>
            </c:manualLayout>
          </c:layout>
          <c:overlay val="0"/>
        </c:title>
        <c:numFmt formatCode="0" sourceLinked="1"/>
        <c:majorTickMark val="out"/>
        <c:minorTickMark val="none"/>
        <c:tickLblPos val="nextTo"/>
        <c:txPr>
          <a:bodyPr/>
          <a:lstStyle/>
          <a:p>
            <a:pPr>
              <a:defRPr sz="900"/>
            </a:pPr>
            <a:endParaRPr lang="en-US"/>
          </a:p>
        </c:txPr>
        <c:crossAx val="172537728"/>
        <c:crosses val="autoZero"/>
        <c:crossBetween val="between"/>
        <c:majorUnit val="20"/>
      </c:valAx>
    </c:plotArea>
    <c:legend>
      <c:legendPos val="b"/>
      <c:layout>
        <c:manualLayout>
          <c:xMode val="edge"/>
          <c:yMode val="edge"/>
          <c:x val="0"/>
          <c:y val="0.89847500000000002"/>
          <c:w val="0.99923271705574246"/>
          <c:h val="9.785952380952379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Use of Alcohol Among </a:t>
            </a:r>
            <a:r>
              <a:rPr lang="en-GB" sz="1000" baseline="0"/>
              <a:t>Females by Age</a:t>
            </a:r>
            <a:endParaRPr lang="en-GB" sz="1000"/>
          </a:p>
        </c:rich>
      </c:tx>
      <c:layout>
        <c:manualLayout>
          <c:xMode val="edge"/>
          <c:yMode val="edge"/>
          <c:x val="3.4674709557878285E-3"/>
          <c:y val="0"/>
        </c:manualLayout>
      </c:layout>
      <c:overlay val="0"/>
    </c:title>
    <c:autoTitleDeleted val="0"/>
    <c:plotArea>
      <c:layout>
        <c:manualLayout>
          <c:layoutTarget val="inner"/>
          <c:xMode val="edge"/>
          <c:yMode val="edge"/>
          <c:x val="0.104568318016171"/>
          <c:y val="0.13462539682539704"/>
          <c:w val="0.89503048438848964"/>
          <c:h val="0.65131388888888964"/>
        </c:manualLayout>
      </c:layout>
      <c:barChart>
        <c:barDir val="col"/>
        <c:grouping val="clustered"/>
        <c:varyColors val="0"/>
        <c:ser>
          <c:idx val="0"/>
          <c:order val="0"/>
          <c:tx>
            <c:strRef>
              <c:f>Drinking!$A$20</c:f>
              <c:strCache>
                <c:ptCount val="1"/>
                <c:pt idx="0">
                  <c:v>Drinks alcohol</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Drinking!$I$19:$O$19</c:f>
              <c:strCache>
                <c:ptCount val="7"/>
                <c:pt idx="0">
                  <c:v>18-24</c:v>
                </c:pt>
                <c:pt idx="1">
                  <c:v>25-34</c:v>
                </c:pt>
                <c:pt idx="2">
                  <c:v>35-44</c:v>
                </c:pt>
                <c:pt idx="3">
                  <c:v>45-54</c:v>
                </c:pt>
                <c:pt idx="4">
                  <c:v>55-64</c:v>
                </c:pt>
                <c:pt idx="5">
                  <c:v>65-74</c:v>
                </c:pt>
                <c:pt idx="6">
                  <c:v>75+</c:v>
                </c:pt>
              </c:strCache>
            </c:strRef>
          </c:cat>
          <c:val>
            <c:numRef>
              <c:f>Drinking!$I$20:$O$20</c:f>
              <c:numCache>
                <c:formatCode>0</c:formatCode>
                <c:ptCount val="7"/>
                <c:pt idx="0">
                  <c:v>88.882439892177658</c:v>
                </c:pt>
                <c:pt idx="1">
                  <c:v>87.214861661183392</c:v>
                </c:pt>
                <c:pt idx="2">
                  <c:v>84.658176045673358</c:v>
                </c:pt>
                <c:pt idx="3">
                  <c:v>81.663756730815919</c:v>
                </c:pt>
                <c:pt idx="4">
                  <c:v>73.796310663680146</c:v>
                </c:pt>
                <c:pt idx="5">
                  <c:v>53.858158706825662</c:v>
                </c:pt>
                <c:pt idx="6">
                  <c:v>45.200136277540651</c:v>
                </c:pt>
              </c:numCache>
            </c:numRef>
          </c:val>
        </c:ser>
        <c:ser>
          <c:idx val="1"/>
          <c:order val="1"/>
          <c:tx>
            <c:strRef>
              <c:f>Drinking!$A$21</c:f>
              <c:strCache>
                <c:ptCount val="1"/>
                <c:pt idx="0">
                  <c:v>Never drank alcohol</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Drinking!$I$19:$O$19</c:f>
              <c:strCache>
                <c:ptCount val="7"/>
                <c:pt idx="0">
                  <c:v>18-24</c:v>
                </c:pt>
                <c:pt idx="1">
                  <c:v>25-34</c:v>
                </c:pt>
                <c:pt idx="2">
                  <c:v>35-44</c:v>
                </c:pt>
                <c:pt idx="3">
                  <c:v>45-54</c:v>
                </c:pt>
                <c:pt idx="4">
                  <c:v>55-64</c:v>
                </c:pt>
                <c:pt idx="5">
                  <c:v>65-74</c:v>
                </c:pt>
                <c:pt idx="6">
                  <c:v>75+</c:v>
                </c:pt>
              </c:strCache>
            </c:strRef>
          </c:cat>
          <c:val>
            <c:numRef>
              <c:f>Drinking!$I$21:$O$21</c:f>
              <c:numCache>
                <c:formatCode>0</c:formatCode>
                <c:ptCount val="7"/>
                <c:pt idx="0">
                  <c:v>6.323071537220196</c:v>
                </c:pt>
                <c:pt idx="1">
                  <c:v>8.9590515288784065</c:v>
                </c:pt>
                <c:pt idx="2">
                  <c:v>10.228986609861735</c:v>
                </c:pt>
                <c:pt idx="3">
                  <c:v>13.564327785509365</c:v>
                </c:pt>
                <c:pt idx="4">
                  <c:v>16.730134624949716</c:v>
                </c:pt>
                <c:pt idx="5">
                  <c:v>36.407151980555362</c:v>
                </c:pt>
                <c:pt idx="6">
                  <c:v>47.203690291483454</c:v>
                </c:pt>
              </c:numCache>
            </c:numRef>
          </c:val>
        </c:ser>
        <c:dLbls>
          <c:showLegendKey val="0"/>
          <c:showVal val="1"/>
          <c:showCatName val="0"/>
          <c:showSerName val="0"/>
          <c:showPercent val="0"/>
          <c:showBubbleSize val="0"/>
        </c:dLbls>
        <c:gapWidth val="150"/>
        <c:axId val="172602880"/>
        <c:axId val="172604416"/>
      </c:barChart>
      <c:catAx>
        <c:axId val="172602880"/>
        <c:scaling>
          <c:orientation val="minMax"/>
        </c:scaling>
        <c:delete val="0"/>
        <c:axPos val="b"/>
        <c:majorTickMark val="out"/>
        <c:minorTickMark val="none"/>
        <c:tickLblPos val="nextTo"/>
        <c:txPr>
          <a:bodyPr/>
          <a:lstStyle/>
          <a:p>
            <a:pPr>
              <a:defRPr sz="900"/>
            </a:pPr>
            <a:endParaRPr lang="en-US"/>
          </a:p>
        </c:txPr>
        <c:crossAx val="172604416"/>
        <c:crosses val="autoZero"/>
        <c:auto val="1"/>
        <c:lblAlgn val="ctr"/>
        <c:lblOffset val="100"/>
        <c:noMultiLvlLbl val="0"/>
      </c:catAx>
      <c:valAx>
        <c:axId val="172604416"/>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2602880"/>
        <c:crosses val="autoZero"/>
        <c:crossBetween val="between"/>
        <c:majorUnit val="20"/>
      </c:valAx>
    </c:plotArea>
    <c:legend>
      <c:legendPos val="b"/>
      <c:layout>
        <c:manualLayout>
          <c:xMode val="edge"/>
          <c:yMode val="edge"/>
          <c:x val="0"/>
          <c:y val="0.85815763888890062"/>
          <c:w val="0.99816087966977762"/>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84999999999999"/>
          <c:y val="0.1038281325945368"/>
          <c:w val="0.6582803655567151"/>
          <c:h val="0.8031172839506161"/>
        </c:manualLayout>
      </c:layout>
      <c:pieChart>
        <c:varyColors val="1"/>
        <c:ser>
          <c:idx val="0"/>
          <c:order val="0"/>
          <c:spPr>
            <a:ln>
              <a:noFill/>
            </a:ln>
          </c:spPr>
          <c:dPt>
            <c:idx val="0"/>
            <c:bubble3D val="0"/>
            <c:spPr>
              <a:solidFill>
                <a:srgbClr val="009900"/>
              </a:solidFill>
              <a:ln>
                <a:noFill/>
              </a:ln>
            </c:spPr>
          </c:dPt>
          <c:dPt>
            <c:idx val="1"/>
            <c:bubble3D val="0"/>
            <c:spPr>
              <a:solidFill>
                <a:srgbClr val="333300"/>
              </a:solidFill>
              <a:ln>
                <a:noFill/>
              </a:ln>
            </c:spPr>
          </c:dPt>
          <c:dPt>
            <c:idx val="2"/>
            <c:bubble3D val="0"/>
            <c:spPr>
              <a:solidFill>
                <a:srgbClr val="99FF66"/>
              </a:solidFill>
              <a:ln>
                <a:noFill/>
              </a:ln>
            </c:spPr>
          </c:dPt>
          <c:dPt>
            <c:idx val="3"/>
            <c:bubble3D val="0"/>
            <c:spPr>
              <a:solidFill>
                <a:srgbClr val="669900"/>
              </a:solidFill>
              <a:ln>
                <a:noFill/>
              </a:ln>
            </c:spPr>
          </c:dPt>
          <c:dPt>
            <c:idx val="4"/>
            <c:bubble3D val="0"/>
            <c:spPr>
              <a:solidFill>
                <a:srgbClr val="336600"/>
              </a:solidFill>
              <a:ln>
                <a:noFill/>
              </a:ln>
            </c:spPr>
          </c:dPt>
          <c:dPt>
            <c:idx val="5"/>
            <c:bubble3D val="0"/>
            <c:spPr>
              <a:solidFill>
                <a:srgbClr val="CCFFCC"/>
              </a:solidFill>
              <a:ln>
                <a:noFill/>
              </a:ln>
            </c:spPr>
          </c:dPt>
          <c:dLbls>
            <c:dLbl>
              <c:idx val="0"/>
              <c:layout>
                <c:manualLayout>
                  <c:x val="-9.6212121212120819E-2"/>
                  <c:y val="-0.2758620689655219"/>
                </c:manualLayout>
              </c:layout>
              <c:dLblPos val="bestFit"/>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1"/>
          </c:dLbls>
          <c:cat>
            <c:strRef>
              <c:f>Drinking!$G$36:$G$41</c:f>
              <c:strCache>
                <c:ptCount val="6"/>
                <c:pt idx="0">
                  <c:v>Don't like it</c:v>
                </c:pt>
                <c:pt idx="1">
                  <c:v>Religious reasons</c:v>
                </c:pt>
                <c:pt idx="2">
                  <c:v>Parent's advice</c:v>
                </c:pt>
                <c:pt idx="3">
                  <c:v>Health Reasons</c:v>
                </c:pt>
                <c:pt idx="4">
                  <c:v>Can't afford it</c:v>
                </c:pt>
                <c:pt idx="5">
                  <c:v>Other</c:v>
                </c:pt>
              </c:strCache>
            </c:strRef>
          </c:cat>
          <c:val>
            <c:numRef>
              <c:f>Drinking!$H$36:$H$41</c:f>
              <c:numCache>
                <c:formatCode>0</c:formatCode>
                <c:ptCount val="6"/>
                <c:pt idx="0">
                  <c:v>50.474779259191997</c:v>
                </c:pt>
                <c:pt idx="1">
                  <c:v>26.584262158777626</c:v>
                </c:pt>
                <c:pt idx="2">
                  <c:v>10.373359709257533</c:v>
                </c:pt>
                <c:pt idx="3">
                  <c:v>4.5728612959517134</c:v>
                </c:pt>
                <c:pt idx="4">
                  <c:v>3.7283139314588443</c:v>
                </c:pt>
                <c:pt idx="5">
                  <c:v>4.2664236453619324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88043512633284"/>
          <c:y val="8.9525447250130313E-2"/>
          <c:w val="0.64221610852860267"/>
          <c:h val="0.78351851851851861"/>
        </c:manualLayout>
      </c:layout>
      <c:pieChart>
        <c:varyColors val="1"/>
        <c:ser>
          <c:idx val="0"/>
          <c:order val="0"/>
          <c:spPr>
            <a:ln>
              <a:noFill/>
            </a:ln>
          </c:spPr>
          <c:dPt>
            <c:idx val="0"/>
            <c:bubble3D val="0"/>
            <c:spPr>
              <a:solidFill>
                <a:srgbClr val="009900"/>
              </a:solidFill>
              <a:ln>
                <a:noFill/>
              </a:ln>
            </c:spPr>
          </c:dPt>
          <c:dPt>
            <c:idx val="1"/>
            <c:bubble3D val="0"/>
            <c:spPr>
              <a:solidFill>
                <a:srgbClr val="333300"/>
              </a:solidFill>
              <a:ln>
                <a:noFill/>
              </a:ln>
            </c:spPr>
          </c:dPt>
          <c:dPt>
            <c:idx val="3"/>
            <c:bubble3D val="0"/>
            <c:spPr>
              <a:solidFill>
                <a:srgbClr val="99FF66"/>
              </a:solidFill>
              <a:ln>
                <a:noFill/>
              </a:ln>
            </c:spPr>
          </c:dPt>
          <c:dPt>
            <c:idx val="4"/>
            <c:bubble3D val="0"/>
            <c:spPr>
              <a:solidFill>
                <a:srgbClr val="336600"/>
              </a:solidFill>
              <a:ln>
                <a:noFill/>
              </a:ln>
            </c:spPr>
          </c:dPt>
          <c:dPt>
            <c:idx val="5"/>
            <c:bubble3D val="0"/>
            <c:spPr>
              <a:solidFill>
                <a:srgbClr val="CCFFCC"/>
              </a:solidFill>
              <a:ln>
                <a:noFill/>
              </a:ln>
            </c:spPr>
          </c:dPt>
          <c:dLbls>
            <c:txPr>
              <a:bodyPr/>
              <a:lstStyle/>
              <a:p>
                <a:pPr>
                  <a:defRPr sz="900"/>
                </a:pPr>
                <a:endParaRPr lang="en-US"/>
              </a:p>
            </c:txPr>
            <c:dLblPos val="outEnd"/>
            <c:showLegendKey val="0"/>
            <c:showVal val="1"/>
            <c:showCatName val="0"/>
            <c:showSerName val="0"/>
            <c:showPercent val="0"/>
            <c:showBubbleSize val="0"/>
            <c:showLeaderLines val="1"/>
          </c:dLbls>
          <c:cat>
            <c:strRef>
              <c:f>Drinking!$G$47:$G$52</c:f>
              <c:strCache>
                <c:ptCount val="6"/>
                <c:pt idx="0">
                  <c:v>Don't like it</c:v>
                </c:pt>
                <c:pt idx="1">
                  <c:v>Religious reasons</c:v>
                </c:pt>
                <c:pt idx="3">
                  <c:v>Health Reasons</c:v>
                </c:pt>
                <c:pt idx="4">
                  <c:v>Can't afford it</c:v>
                </c:pt>
                <c:pt idx="5">
                  <c:v>Other</c:v>
                </c:pt>
              </c:strCache>
            </c:strRef>
          </c:cat>
          <c:val>
            <c:numRef>
              <c:f>Drinking!$H$47:$H$52</c:f>
              <c:numCache>
                <c:formatCode>0</c:formatCode>
                <c:ptCount val="6"/>
                <c:pt idx="0">
                  <c:v>25.220693098154289</c:v>
                </c:pt>
                <c:pt idx="1">
                  <c:v>10.249308727429398</c:v>
                </c:pt>
                <c:pt idx="3">
                  <c:v>47.706193544086588</c:v>
                </c:pt>
                <c:pt idx="4">
                  <c:v>4.8250973436036091</c:v>
                </c:pt>
                <c:pt idx="5">
                  <c:v>11.637040328392141</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03587051618529"/>
          <c:y val="5.0925925925925923E-2"/>
          <c:w val="9.2615923009624016E-3"/>
          <c:h val="1.5435987168270635E-2"/>
        </c:manualLayout>
      </c:layout>
      <c:pieChart>
        <c:varyColors val="1"/>
        <c:ser>
          <c:idx val="0"/>
          <c:order val="0"/>
          <c:dPt>
            <c:idx val="0"/>
            <c:bubble3D val="0"/>
            <c:spPr>
              <a:solidFill>
                <a:srgbClr val="009900"/>
              </a:solidFill>
            </c:spPr>
          </c:dPt>
          <c:dPt>
            <c:idx val="1"/>
            <c:bubble3D val="0"/>
            <c:spPr>
              <a:solidFill>
                <a:srgbClr val="333300"/>
              </a:solidFill>
            </c:spPr>
          </c:dPt>
          <c:dPt>
            <c:idx val="2"/>
            <c:bubble3D val="0"/>
            <c:spPr>
              <a:solidFill>
                <a:srgbClr val="99FF66"/>
              </a:solidFill>
            </c:spPr>
          </c:dPt>
          <c:dPt>
            <c:idx val="3"/>
            <c:bubble3D val="0"/>
            <c:spPr>
              <a:solidFill>
                <a:srgbClr val="669900"/>
              </a:solidFill>
            </c:spPr>
          </c:dPt>
          <c:dPt>
            <c:idx val="4"/>
            <c:bubble3D val="0"/>
            <c:spPr>
              <a:solidFill>
                <a:srgbClr val="006600"/>
              </a:solidFill>
            </c:spPr>
          </c:dPt>
          <c:dPt>
            <c:idx val="5"/>
            <c:bubble3D val="0"/>
            <c:spPr>
              <a:solidFill>
                <a:srgbClr val="CCFFCC"/>
              </a:solidFill>
            </c:spPr>
          </c:dPt>
          <c:cat>
            <c:strRef>
              <c:f>Drinking!$G$36:$G$41</c:f>
              <c:strCache>
                <c:ptCount val="6"/>
                <c:pt idx="0">
                  <c:v>Don't like it</c:v>
                </c:pt>
                <c:pt idx="1">
                  <c:v>Religious reasons</c:v>
                </c:pt>
                <c:pt idx="2">
                  <c:v>Parent's advice</c:v>
                </c:pt>
                <c:pt idx="3">
                  <c:v>Health Reasons</c:v>
                </c:pt>
                <c:pt idx="4">
                  <c:v>Can't afford it</c:v>
                </c:pt>
                <c:pt idx="5">
                  <c:v>Other</c:v>
                </c:pt>
              </c:strCache>
            </c:strRef>
          </c:cat>
          <c:val>
            <c:numRef>
              <c:f>Drinking!$H$36:$H$41</c:f>
              <c:numCache>
                <c:formatCode>0</c:formatCode>
                <c:ptCount val="6"/>
                <c:pt idx="0">
                  <c:v>50.474779259192275</c:v>
                </c:pt>
                <c:pt idx="1">
                  <c:v>26.584262158777626</c:v>
                </c:pt>
                <c:pt idx="2">
                  <c:v>10.373359709257533</c:v>
                </c:pt>
                <c:pt idx="3">
                  <c:v>4.5728612959517019</c:v>
                </c:pt>
                <c:pt idx="4">
                  <c:v>3.7283139314588443</c:v>
                </c:pt>
                <c:pt idx="5">
                  <c:v>4.2664236453619324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11810386828062396"/>
          <c:w val="0.9995516185476816"/>
          <c:h val="0.77568532756779618"/>
        </c:manualLayout>
      </c:layout>
      <c:overlay val="0"/>
      <c:spPr>
        <a:ln>
          <a:noFill/>
        </a:ln>
      </c:spPr>
      <c:txPr>
        <a:bodyPr/>
        <a:lstStyle/>
        <a:p>
          <a:pPr>
            <a:defRPr sz="900"/>
          </a:pPr>
          <a:endParaRPr lang="en-US"/>
        </a:p>
      </c:txPr>
    </c:legend>
    <c:plotVisOnly val="1"/>
    <c:dispBlanksAs val="gap"/>
    <c:showDLblsOverMax val="0"/>
  </c:chart>
  <c:spPr>
    <a:noFill/>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US"/>
              <a:t>BMI Category by Gender</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1297314814814814"/>
          <c:w val="0.89974542418518311"/>
          <c:h val="0.71872453703703765"/>
        </c:manualLayout>
      </c:layout>
      <c:barChart>
        <c:barDir val="col"/>
        <c:grouping val="stacked"/>
        <c:varyColors val="0"/>
        <c:ser>
          <c:idx val="0"/>
          <c:order val="0"/>
          <c:tx>
            <c:strRef>
              <c:f>Sheet1!$A$4</c:f>
              <c:strCache>
                <c:ptCount val="1"/>
                <c:pt idx="0">
                  <c:v>Underweight</c:v>
                </c:pt>
              </c:strCache>
            </c:strRef>
          </c:tx>
          <c:spPr>
            <a:solidFill>
              <a:srgbClr val="3333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Sheet1!$C$3:$D$3</c:f>
              <c:strCache>
                <c:ptCount val="2"/>
                <c:pt idx="0">
                  <c:v>Male</c:v>
                </c:pt>
                <c:pt idx="1">
                  <c:v>Female</c:v>
                </c:pt>
              </c:strCache>
            </c:strRef>
          </c:cat>
          <c:val>
            <c:numRef>
              <c:f>Sheet1!$C$4:$D$4</c:f>
              <c:numCache>
                <c:formatCode>0</c:formatCode>
                <c:ptCount val="2"/>
                <c:pt idx="0">
                  <c:v>2.8074054207885375</c:v>
                </c:pt>
                <c:pt idx="1">
                  <c:v>7.3572447768747455</c:v>
                </c:pt>
              </c:numCache>
            </c:numRef>
          </c:val>
        </c:ser>
        <c:ser>
          <c:idx val="1"/>
          <c:order val="1"/>
          <c:tx>
            <c:strRef>
              <c:f>Sheet1!$A$5</c:f>
              <c:strCache>
                <c:ptCount val="1"/>
                <c:pt idx="0">
                  <c:v>Normal</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Sheet1!$C$3:$D$3</c:f>
              <c:strCache>
                <c:ptCount val="2"/>
                <c:pt idx="0">
                  <c:v>Male</c:v>
                </c:pt>
                <c:pt idx="1">
                  <c:v>Female</c:v>
                </c:pt>
              </c:strCache>
            </c:strRef>
          </c:cat>
          <c:val>
            <c:numRef>
              <c:f>Sheet1!$C$5:$D$5</c:f>
              <c:numCache>
                <c:formatCode>0</c:formatCode>
                <c:ptCount val="2"/>
                <c:pt idx="0">
                  <c:v>28.124650454215097</c:v>
                </c:pt>
                <c:pt idx="1">
                  <c:v>35.717614827693872</c:v>
                </c:pt>
              </c:numCache>
            </c:numRef>
          </c:val>
        </c:ser>
        <c:ser>
          <c:idx val="2"/>
          <c:order val="2"/>
          <c:tx>
            <c:strRef>
              <c:f>Sheet1!$A$6</c:f>
              <c:strCache>
                <c:ptCount val="1"/>
                <c:pt idx="0">
                  <c:v>Overweight</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Sheet1!$C$3:$D$3</c:f>
              <c:strCache>
                <c:ptCount val="2"/>
                <c:pt idx="0">
                  <c:v>Male</c:v>
                </c:pt>
                <c:pt idx="1">
                  <c:v>Female</c:v>
                </c:pt>
              </c:strCache>
            </c:strRef>
          </c:cat>
          <c:val>
            <c:numRef>
              <c:f>Sheet1!$C$6:$D$6</c:f>
              <c:numCache>
                <c:formatCode>0</c:formatCode>
                <c:ptCount val="2"/>
                <c:pt idx="0">
                  <c:v>43.123606909506201</c:v>
                </c:pt>
                <c:pt idx="1">
                  <c:v>32.641210488646244</c:v>
                </c:pt>
              </c:numCache>
            </c:numRef>
          </c:val>
        </c:ser>
        <c:ser>
          <c:idx val="3"/>
          <c:order val="3"/>
          <c:tx>
            <c:strRef>
              <c:f>Sheet1!$A$7</c:f>
              <c:strCache>
                <c:ptCount val="1"/>
                <c:pt idx="0">
                  <c:v>Obese</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Sheet1!$C$3:$D$3</c:f>
              <c:strCache>
                <c:ptCount val="2"/>
                <c:pt idx="0">
                  <c:v>Male</c:v>
                </c:pt>
                <c:pt idx="1">
                  <c:v>Female</c:v>
                </c:pt>
              </c:strCache>
            </c:strRef>
          </c:cat>
          <c:val>
            <c:numRef>
              <c:f>Sheet1!$C$7:$D$7</c:f>
              <c:numCache>
                <c:formatCode>0</c:formatCode>
                <c:ptCount val="2"/>
                <c:pt idx="0">
                  <c:v>24.258392921952289</c:v>
                </c:pt>
                <c:pt idx="1">
                  <c:v>21.377133964792041</c:v>
                </c:pt>
              </c:numCache>
            </c:numRef>
          </c:val>
        </c:ser>
        <c:ser>
          <c:idx val="4"/>
          <c:order val="4"/>
          <c:tx>
            <c:strRef>
              <c:f>Sheet1!$A$8</c:f>
              <c:strCache>
                <c:ptCount val="1"/>
                <c:pt idx="0">
                  <c:v>Morbidly Obese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Sheet1!$C$3:$D$3</c:f>
              <c:strCache>
                <c:ptCount val="2"/>
                <c:pt idx="0">
                  <c:v>Male</c:v>
                </c:pt>
                <c:pt idx="1">
                  <c:v>Female</c:v>
                </c:pt>
              </c:strCache>
            </c:strRef>
          </c:cat>
          <c:val>
            <c:numRef>
              <c:f>Sheet1!$C$8:$D$8</c:f>
              <c:numCache>
                <c:formatCode>0</c:formatCode>
                <c:ptCount val="2"/>
                <c:pt idx="0">
                  <c:v>1.6859442935377258</c:v>
                </c:pt>
                <c:pt idx="1">
                  <c:v>2.9067959419924212</c:v>
                </c:pt>
              </c:numCache>
            </c:numRef>
          </c:val>
        </c:ser>
        <c:dLbls>
          <c:showLegendKey val="0"/>
          <c:showVal val="1"/>
          <c:showCatName val="0"/>
          <c:showSerName val="0"/>
          <c:showPercent val="0"/>
          <c:showBubbleSize val="0"/>
        </c:dLbls>
        <c:gapWidth val="70"/>
        <c:overlap val="100"/>
        <c:axId val="172885888"/>
        <c:axId val="172887424"/>
      </c:barChart>
      <c:catAx>
        <c:axId val="172885888"/>
        <c:scaling>
          <c:orientation val="minMax"/>
        </c:scaling>
        <c:delete val="0"/>
        <c:axPos val="b"/>
        <c:majorTickMark val="out"/>
        <c:minorTickMark val="none"/>
        <c:tickLblPos val="nextTo"/>
        <c:txPr>
          <a:bodyPr/>
          <a:lstStyle/>
          <a:p>
            <a:pPr>
              <a:defRPr sz="900"/>
            </a:pPr>
            <a:endParaRPr lang="en-US"/>
          </a:p>
        </c:txPr>
        <c:crossAx val="172887424"/>
        <c:crosses val="autoZero"/>
        <c:auto val="1"/>
        <c:lblAlgn val="ctr"/>
        <c:lblOffset val="100"/>
        <c:noMultiLvlLbl val="0"/>
      </c:catAx>
      <c:valAx>
        <c:axId val="172887424"/>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2885888"/>
        <c:crosses val="autoZero"/>
        <c:crossBetween val="between"/>
        <c:majorUnit val="20"/>
      </c:valAx>
    </c:plotArea>
    <c:legend>
      <c:legendPos val="b"/>
      <c:layout>
        <c:manualLayout>
          <c:xMode val="edge"/>
          <c:yMode val="edge"/>
          <c:x val="0"/>
          <c:y val="0.924670138888893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US"/>
              <a:t>BMI Category by Deprivation</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1724907407407409"/>
          <c:w val="0.89974542418518311"/>
          <c:h val="0.69600787037037348"/>
        </c:manualLayout>
      </c:layout>
      <c:barChart>
        <c:barDir val="col"/>
        <c:grouping val="stacked"/>
        <c:varyColors val="0"/>
        <c:ser>
          <c:idx val="0"/>
          <c:order val="0"/>
          <c:tx>
            <c:strRef>
              <c:f>Sheet1!$A$4</c:f>
              <c:strCache>
                <c:ptCount val="1"/>
                <c:pt idx="0">
                  <c:v>Underweight</c:v>
                </c:pt>
              </c:strCache>
            </c:strRef>
          </c:tx>
          <c:spPr>
            <a:solidFill>
              <a:srgbClr val="3333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(Sheet1!$L$3,Sheet1!$P$3)</c:f>
              <c:strCache>
                <c:ptCount val="2"/>
                <c:pt idx="0">
                  <c:v>Most Deprived</c:v>
                </c:pt>
                <c:pt idx="1">
                  <c:v>Least Deprived</c:v>
                </c:pt>
              </c:strCache>
            </c:strRef>
          </c:cat>
          <c:val>
            <c:numRef>
              <c:f>(Sheet1!$L$4,Sheet1!$P$4)</c:f>
              <c:numCache>
                <c:formatCode>0</c:formatCode>
                <c:ptCount val="2"/>
                <c:pt idx="0">
                  <c:v>3.9037692157663377</c:v>
                </c:pt>
                <c:pt idx="1">
                  <c:v>5.0498016132416534</c:v>
                </c:pt>
              </c:numCache>
            </c:numRef>
          </c:val>
        </c:ser>
        <c:ser>
          <c:idx val="1"/>
          <c:order val="1"/>
          <c:tx>
            <c:strRef>
              <c:f>Sheet1!$A$5</c:f>
              <c:strCache>
                <c:ptCount val="1"/>
                <c:pt idx="0">
                  <c:v>Normal</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(Sheet1!$L$3,Sheet1!$P$3)</c:f>
              <c:strCache>
                <c:ptCount val="2"/>
                <c:pt idx="0">
                  <c:v>Most Deprived</c:v>
                </c:pt>
                <c:pt idx="1">
                  <c:v>Least Deprived</c:v>
                </c:pt>
              </c:strCache>
            </c:strRef>
          </c:cat>
          <c:val>
            <c:numRef>
              <c:f>(Sheet1!$L$5,Sheet1!$P$5)</c:f>
              <c:numCache>
                <c:formatCode>0</c:formatCode>
                <c:ptCount val="2"/>
                <c:pt idx="0">
                  <c:v>30.714157360229144</c:v>
                </c:pt>
                <c:pt idx="1">
                  <c:v>33.727059771653494</c:v>
                </c:pt>
              </c:numCache>
            </c:numRef>
          </c:val>
        </c:ser>
        <c:ser>
          <c:idx val="2"/>
          <c:order val="2"/>
          <c:tx>
            <c:strRef>
              <c:f>Sheet1!$A$6</c:f>
              <c:strCache>
                <c:ptCount val="1"/>
                <c:pt idx="0">
                  <c:v>Overweight</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(Sheet1!$L$3,Sheet1!$P$3)</c:f>
              <c:strCache>
                <c:ptCount val="2"/>
                <c:pt idx="0">
                  <c:v>Most Deprived</c:v>
                </c:pt>
                <c:pt idx="1">
                  <c:v>Least Deprived</c:v>
                </c:pt>
              </c:strCache>
            </c:strRef>
          </c:cat>
          <c:val>
            <c:numRef>
              <c:f>(Sheet1!$L$6,Sheet1!$P$6)</c:f>
              <c:numCache>
                <c:formatCode>0</c:formatCode>
                <c:ptCount val="2"/>
                <c:pt idx="0">
                  <c:v>34.52829650345717</c:v>
                </c:pt>
                <c:pt idx="1">
                  <c:v>40.565175837302178</c:v>
                </c:pt>
              </c:numCache>
            </c:numRef>
          </c:val>
        </c:ser>
        <c:ser>
          <c:idx val="3"/>
          <c:order val="3"/>
          <c:tx>
            <c:strRef>
              <c:f>Sheet1!$A$7</c:f>
              <c:strCache>
                <c:ptCount val="1"/>
                <c:pt idx="0">
                  <c:v>Obese</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(Sheet1!$L$3,Sheet1!$P$3)</c:f>
              <c:strCache>
                <c:ptCount val="2"/>
                <c:pt idx="0">
                  <c:v>Most Deprived</c:v>
                </c:pt>
                <c:pt idx="1">
                  <c:v>Least Deprived</c:v>
                </c:pt>
              </c:strCache>
            </c:strRef>
          </c:cat>
          <c:val>
            <c:numRef>
              <c:f>(Sheet1!$L$7,Sheet1!$P$7)</c:f>
              <c:numCache>
                <c:formatCode>0</c:formatCode>
                <c:ptCount val="2"/>
                <c:pt idx="0">
                  <c:v>26.97282234488851</c:v>
                </c:pt>
                <c:pt idx="1">
                  <c:v>19.276566610294939</c:v>
                </c:pt>
              </c:numCache>
            </c:numRef>
          </c:val>
        </c:ser>
        <c:ser>
          <c:idx val="4"/>
          <c:order val="4"/>
          <c:tx>
            <c:strRef>
              <c:f>Sheet1!$A$8</c:f>
              <c:strCache>
                <c:ptCount val="1"/>
                <c:pt idx="0">
                  <c:v>Morbidly Obese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(Sheet1!$L$3,Sheet1!$P$3)</c:f>
              <c:strCache>
                <c:ptCount val="2"/>
                <c:pt idx="0">
                  <c:v>Most Deprived</c:v>
                </c:pt>
                <c:pt idx="1">
                  <c:v>Least Deprived</c:v>
                </c:pt>
              </c:strCache>
            </c:strRef>
          </c:cat>
          <c:val>
            <c:numRef>
              <c:f>(Sheet1!$L$8,Sheet1!$P$8)</c:f>
              <c:numCache>
                <c:formatCode>0</c:formatCode>
                <c:ptCount val="2"/>
                <c:pt idx="0">
                  <c:v>3.8809545756587132</c:v>
                </c:pt>
                <c:pt idx="1">
                  <c:v>1.3813961675079198</c:v>
                </c:pt>
              </c:numCache>
            </c:numRef>
          </c:val>
        </c:ser>
        <c:dLbls>
          <c:showLegendKey val="0"/>
          <c:showVal val="1"/>
          <c:showCatName val="0"/>
          <c:showSerName val="0"/>
          <c:showPercent val="0"/>
          <c:showBubbleSize val="0"/>
        </c:dLbls>
        <c:gapWidth val="70"/>
        <c:overlap val="100"/>
        <c:axId val="172946560"/>
        <c:axId val="172948096"/>
      </c:barChart>
      <c:catAx>
        <c:axId val="172946560"/>
        <c:scaling>
          <c:orientation val="minMax"/>
        </c:scaling>
        <c:delete val="0"/>
        <c:axPos val="b"/>
        <c:majorTickMark val="out"/>
        <c:minorTickMark val="none"/>
        <c:tickLblPos val="nextTo"/>
        <c:txPr>
          <a:bodyPr/>
          <a:lstStyle/>
          <a:p>
            <a:pPr>
              <a:defRPr sz="900"/>
            </a:pPr>
            <a:endParaRPr lang="en-US"/>
          </a:p>
        </c:txPr>
        <c:crossAx val="172948096"/>
        <c:crosses val="autoZero"/>
        <c:auto val="1"/>
        <c:lblAlgn val="ctr"/>
        <c:lblOffset val="100"/>
        <c:noMultiLvlLbl val="0"/>
      </c:catAx>
      <c:valAx>
        <c:axId val="172948096"/>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2946560"/>
        <c:crosses val="autoZero"/>
        <c:crossBetween val="between"/>
        <c:majorUnit val="20"/>
      </c:valAx>
    </c:plotArea>
    <c:legend>
      <c:legendPos val="b"/>
      <c:layout>
        <c:manualLayout>
          <c:xMode val="edge"/>
          <c:yMode val="edge"/>
          <c:x val="0"/>
          <c:y val="0.924670138888893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US"/>
              <a:t>BMI Category by Age</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0816249999999999"/>
          <c:w val="0.89974542418518311"/>
          <c:h val="0.72246574074073788"/>
        </c:manualLayout>
      </c:layout>
      <c:barChart>
        <c:barDir val="col"/>
        <c:grouping val="stacked"/>
        <c:varyColors val="0"/>
        <c:ser>
          <c:idx val="0"/>
          <c:order val="0"/>
          <c:tx>
            <c:strRef>
              <c:f>Sheet1!$A$4</c:f>
              <c:strCache>
                <c:ptCount val="1"/>
                <c:pt idx="0">
                  <c:v>Underweight</c:v>
                </c:pt>
              </c:strCache>
            </c:strRef>
          </c:tx>
          <c:spPr>
            <a:solidFill>
              <a:srgbClr val="333300"/>
            </a:solidFill>
          </c:spPr>
          <c:invertIfNegative val="0"/>
          <c:dLbls>
            <c:txPr>
              <a:bodyPr/>
              <a:lstStyle/>
              <a:p>
                <a:pPr>
                  <a:defRPr sz="900">
                    <a:solidFill>
                      <a:srgbClr val="CCFFCC"/>
                    </a:solidFill>
                  </a:defRPr>
                </a:pPr>
                <a:endParaRPr lang="en-US"/>
              </a:p>
            </c:txPr>
            <c:dLblPos val="ctr"/>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Sheet1!$Q$4:$W$4</c:f>
              <c:numCache>
                <c:formatCode>0</c:formatCode>
                <c:ptCount val="7"/>
                <c:pt idx="0">
                  <c:v>15.966045747740194</c:v>
                </c:pt>
                <c:pt idx="1">
                  <c:v>5.3100873147061876</c:v>
                </c:pt>
                <c:pt idx="2">
                  <c:v>2.5273118083734398</c:v>
                </c:pt>
                <c:pt idx="3">
                  <c:v>2.1420204812252979</c:v>
                </c:pt>
                <c:pt idx="4">
                  <c:v>2.3328393144218107</c:v>
                </c:pt>
                <c:pt idx="5">
                  <c:v>3.0450815223816612</c:v>
                </c:pt>
                <c:pt idx="6">
                  <c:v>6.4631415639437888</c:v>
                </c:pt>
              </c:numCache>
            </c:numRef>
          </c:val>
        </c:ser>
        <c:ser>
          <c:idx val="1"/>
          <c:order val="1"/>
          <c:tx>
            <c:strRef>
              <c:f>Sheet1!$A$5</c:f>
              <c:strCache>
                <c:ptCount val="1"/>
                <c:pt idx="0">
                  <c:v>Normal</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Sheet1!$Q$5:$W$5</c:f>
              <c:numCache>
                <c:formatCode>0</c:formatCode>
                <c:ptCount val="7"/>
                <c:pt idx="0">
                  <c:v>45.326969675962978</c:v>
                </c:pt>
                <c:pt idx="1">
                  <c:v>40.649581559495836</c:v>
                </c:pt>
                <c:pt idx="2">
                  <c:v>32.588430904315913</c:v>
                </c:pt>
                <c:pt idx="3">
                  <c:v>24.232975286891033</c:v>
                </c:pt>
                <c:pt idx="4">
                  <c:v>21.419967252439637</c:v>
                </c:pt>
                <c:pt idx="5">
                  <c:v>29.002461939398987</c:v>
                </c:pt>
                <c:pt idx="6">
                  <c:v>30.437666983266517</c:v>
                </c:pt>
              </c:numCache>
            </c:numRef>
          </c:val>
        </c:ser>
        <c:ser>
          <c:idx val="2"/>
          <c:order val="2"/>
          <c:tx>
            <c:strRef>
              <c:f>Sheet1!$A$6</c:f>
              <c:strCache>
                <c:ptCount val="1"/>
                <c:pt idx="0">
                  <c:v>Overweight</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Sheet1!$Q$6:$W$6</c:f>
              <c:numCache>
                <c:formatCode>0</c:formatCode>
                <c:ptCount val="7"/>
                <c:pt idx="0">
                  <c:v>21.908694914596929</c:v>
                </c:pt>
                <c:pt idx="1">
                  <c:v>33.591785095767108</c:v>
                </c:pt>
                <c:pt idx="2">
                  <c:v>40.789375603620407</c:v>
                </c:pt>
                <c:pt idx="3">
                  <c:v>40.167847120544948</c:v>
                </c:pt>
                <c:pt idx="4">
                  <c:v>46.099049502230955</c:v>
                </c:pt>
                <c:pt idx="5">
                  <c:v>40.881079138498144</c:v>
                </c:pt>
                <c:pt idx="6">
                  <c:v>39.956392652955962</c:v>
                </c:pt>
              </c:numCache>
            </c:numRef>
          </c:val>
        </c:ser>
        <c:ser>
          <c:idx val="3"/>
          <c:order val="3"/>
          <c:tx>
            <c:strRef>
              <c:f>Sheet1!$A$7</c:f>
              <c:strCache>
                <c:ptCount val="1"/>
                <c:pt idx="0">
                  <c:v>Obese</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Sheet1!$Q$7:$W$7</c:f>
              <c:numCache>
                <c:formatCode>0</c:formatCode>
                <c:ptCount val="7"/>
                <c:pt idx="0">
                  <c:v>14.946235362564558</c:v>
                </c:pt>
                <c:pt idx="1">
                  <c:v>18.570655339524727</c:v>
                </c:pt>
                <c:pt idx="2">
                  <c:v>21.800955168695072</c:v>
                </c:pt>
                <c:pt idx="3">
                  <c:v>30.295629476549234</c:v>
                </c:pt>
                <c:pt idx="4">
                  <c:v>26.166485681779712</c:v>
                </c:pt>
                <c:pt idx="5">
                  <c:v>25.257999089110868</c:v>
                </c:pt>
                <c:pt idx="6">
                  <c:v>22.041620215378284</c:v>
                </c:pt>
              </c:numCache>
            </c:numRef>
          </c:val>
        </c:ser>
        <c:ser>
          <c:idx val="4"/>
          <c:order val="4"/>
          <c:tx>
            <c:strRef>
              <c:f>Sheet1!$A$8</c:f>
              <c:strCache>
                <c:ptCount val="1"/>
                <c:pt idx="0">
                  <c:v>Morbidly Obese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Sheet1!$Q$3:$W$3</c:f>
              <c:strCache>
                <c:ptCount val="7"/>
                <c:pt idx="0">
                  <c:v>16-24</c:v>
                </c:pt>
                <c:pt idx="1">
                  <c:v>25-34</c:v>
                </c:pt>
                <c:pt idx="2">
                  <c:v>35-44</c:v>
                </c:pt>
                <c:pt idx="3">
                  <c:v>45-54</c:v>
                </c:pt>
                <c:pt idx="4">
                  <c:v>55-64</c:v>
                </c:pt>
                <c:pt idx="5">
                  <c:v>65-74</c:v>
                </c:pt>
                <c:pt idx="6">
                  <c:v>75+</c:v>
                </c:pt>
              </c:strCache>
            </c:strRef>
          </c:cat>
          <c:val>
            <c:numRef>
              <c:f>Sheet1!$Q$8:$W$8</c:f>
              <c:numCache>
                <c:formatCode>0</c:formatCode>
                <c:ptCount val="7"/>
                <c:pt idx="0">
                  <c:v>1.8520542991351678</c:v>
                </c:pt>
                <c:pt idx="1">
                  <c:v>1.8778906905056763</c:v>
                </c:pt>
                <c:pt idx="2">
                  <c:v>2.2939265149955212</c:v>
                </c:pt>
                <c:pt idx="3">
                  <c:v>3.1615276347890449</c:v>
                </c:pt>
                <c:pt idx="4">
                  <c:v>3.9816582491276087</c:v>
                </c:pt>
                <c:pt idx="5">
                  <c:v>1.8133783106102999</c:v>
                </c:pt>
                <c:pt idx="6">
                  <c:v>1.1011785844553501</c:v>
                </c:pt>
              </c:numCache>
            </c:numRef>
          </c:val>
        </c:ser>
        <c:dLbls>
          <c:showLegendKey val="0"/>
          <c:showVal val="1"/>
          <c:showCatName val="0"/>
          <c:showSerName val="0"/>
          <c:showPercent val="0"/>
          <c:showBubbleSize val="0"/>
        </c:dLbls>
        <c:gapWidth val="70"/>
        <c:overlap val="100"/>
        <c:axId val="173023616"/>
        <c:axId val="173025152"/>
      </c:barChart>
      <c:catAx>
        <c:axId val="173023616"/>
        <c:scaling>
          <c:orientation val="minMax"/>
        </c:scaling>
        <c:delete val="0"/>
        <c:axPos val="b"/>
        <c:majorTickMark val="out"/>
        <c:minorTickMark val="none"/>
        <c:tickLblPos val="nextTo"/>
        <c:txPr>
          <a:bodyPr/>
          <a:lstStyle/>
          <a:p>
            <a:pPr>
              <a:defRPr sz="900"/>
            </a:pPr>
            <a:endParaRPr lang="en-US"/>
          </a:p>
        </c:txPr>
        <c:crossAx val="173025152"/>
        <c:crosses val="autoZero"/>
        <c:auto val="1"/>
        <c:lblAlgn val="ctr"/>
        <c:lblOffset val="100"/>
        <c:noMultiLvlLbl val="0"/>
      </c:catAx>
      <c:valAx>
        <c:axId val="173025152"/>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3023616"/>
        <c:crosses val="autoZero"/>
        <c:crossBetween val="between"/>
        <c:majorUnit val="20"/>
      </c:valAx>
    </c:plotArea>
    <c:legend>
      <c:legendPos val="b"/>
      <c:layout>
        <c:manualLayout>
          <c:xMode val="edge"/>
          <c:yMode val="edge"/>
          <c:x val="0"/>
          <c:y val="0.924670138888893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US"/>
              <a:t>BMI Category by View on own Weight</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1511111111111109"/>
          <c:w val="0.89974542418518311"/>
          <c:h val="0.68532301587301592"/>
        </c:manualLayout>
      </c:layout>
      <c:barChart>
        <c:barDir val="col"/>
        <c:grouping val="stacked"/>
        <c:varyColors val="0"/>
        <c:ser>
          <c:idx val="0"/>
          <c:order val="0"/>
          <c:tx>
            <c:strRef>
              <c:f>Sheet2!$B$13</c:f>
              <c:strCache>
                <c:ptCount val="1"/>
                <c:pt idx="0">
                  <c:v>Too light</c:v>
                </c:pt>
              </c:strCache>
            </c:strRef>
          </c:tx>
          <c:spPr>
            <a:solidFill>
              <a:srgbClr val="333300"/>
            </a:solidFill>
          </c:spPr>
          <c:invertIfNegative val="0"/>
          <c:dLbls>
            <c:dLbl>
              <c:idx val="2"/>
              <c:delete val="1"/>
            </c:dLbl>
            <c:dLbl>
              <c:idx val="3"/>
              <c:delete val="1"/>
            </c:dLbl>
            <c:dLbl>
              <c:idx val="4"/>
              <c:delete val="1"/>
            </c:dLbl>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Sheet2!$A$14:$A$18</c:f>
              <c:strCache>
                <c:ptCount val="5"/>
                <c:pt idx="0">
                  <c:v>Underweight</c:v>
                </c:pt>
                <c:pt idx="1">
                  <c:v>Normal</c:v>
                </c:pt>
                <c:pt idx="2">
                  <c:v>Overweight</c:v>
                </c:pt>
                <c:pt idx="3">
                  <c:v>Obese</c:v>
                </c:pt>
                <c:pt idx="4">
                  <c:v>Morbidly Obese</c:v>
                </c:pt>
              </c:strCache>
            </c:strRef>
          </c:cat>
          <c:val>
            <c:numRef>
              <c:f>Sheet2!$B$14:$B$18</c:f>
              <c:numCache>
                <c:formatCode>0</c:formatCode>
                <c:ptCount val="5"/>
                <c:pt idx="0">
                  <c:v>33.235773308711281</c:v>
                </c:pt>
                <c:pt idx="1">
                  <c:v>5.0900892558933863</c:v>
                </c:pt>
                <c:pt idx="2">
                  <c:v>1.1296804384501846</c:v>
                </c:pt>
                <c:pt idx="3">
                  <c:v>0.11223593825750502</c:v>
                </c:pt>
                <c:pt idx="4">
                  <c:v>1.4648312018014098</c:v>
                </c:pt>
              </c:numCache>
            </c:numRef>
          </c:val>
        </c:ser>
        <c:ser>
          <c:idx val="1"/>
          <c:order val="1"/>
          <c:tx>
            <c:strRef>
              <c:f>Sheet2!$C$13</c:f>
              <c:strCache>
                <c:ptCount val="1"/>
                <c:pt idx="0">
                  <c:v>About the right weight</c:v>
                </c:pt>
              </c:strCache>
            </c:strRef>
          </c:tx>
          <c:spPr>
            <a:solidFill>
              <a:srgbClr val="009900"/>
            </a:solidFill>
          </c:spPr>
          <c:invertIfNegative val="0"/>
          <c:dLbls>
            <c:dLbl>
              <c:idx val="4"/>
              <c:delete val="1"/>
            </c:dLbl>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Sheet2!$A$14:$A$18</c:f>
              <c:strCache>
                <c:ptCount val="5"/>
                <c:pt idx="0">
                  <c:v>Underweight</c:v>
                </c:pt>
                <c:pt idx="1">
                  <c:v>Normal</c:v>
                </c:pt>
                <c:pt idx="2">
                  <c:v>Overweight</c:v>
                </c:pt>
                <c:pt idx="3">
                  <c:v>Obese</c:v>
                </c:pt>
                <c:pt idx="4">
                  <c:v>Morbidly Obese</c:v>
                </c:pt>
              </c:strCache>
            </c:strRef>
          </c:cat>
          <c:val>
            <c:numRef>
              <c:f>Sheet2!$C$14:$C$18</c:f>
              <c:numCache>
                <c:formatCode>0</c:formatCode>
                <c:ptCount val="5"/>
                <c:pt idx="0">
                  <c:v>57.370019290666328</c:v>
                </c:pt>
                <c:pt idx="1">
                  <c:v>77.100734134094282</c:v>
                </c:pt>
                <c:pt idx="2">
                  <c:v>42.561183304357627</c:v>
                </c:pt>
                <c:pt idx="3">
                  <c:v>10.580555561517857</c:v>
                </c:pt>
                <c:pt idx="4">
                  <c:v>2.0035081236149708</c:v>
                </c:pt>
              </c:numCache>
            </c:numRef>
          </c:val>
        </c:ser>
        <c:ser>
          <c:idx val="2"/>
          <c:order val="2"/>
          <c:tx>
            <c:strRef>
              <c:f>Sheet2!$D$13</c:f>
              <c:strCache>
                <c:ptCount val="1"/>
                <c:pt idx="0">
                  <c:v>Too heavy </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Sheet2!$A$14:$A$18</c:f>
              <c:strCache>
                <c:ptCount val="5"/>
                <c:pt idx="0">
                  <c:v>Underweight</c:v>
                </c:pt>
                <c:pt idx="1">
                  <c:v>Normal</c:v>
                </c:pt>
                <c:pt idx="2">
                  <c:v>Overweight</c:v>
                </c:pt>
                <c:pt idx="3">
                  <c:v>Obese</c:v>
                </c:pt>
                <c:pt idx="4">
                  <c:v>Morbidly Obese</c:v>
                </c:pt>
              </c:strCache>
            </c:strRef>
          </c:cat>
          <c:val>
            <c:numRef>
              <c:f>Sheet2!$D$14:$D$18</c:f>
              <c:numCache>
                <c:formatCode>0</c:formatCode>
                <c:ptCount val="5"/>
                <c:pt idx="0">
                  <c:v>2.562031950528707</c:v>
                </c:pt>
                <c:pt idx="1">
                  <c:v>13.159096726788375</c:v>
                </c:pt>
                <c:pt idx="2">
                  <c:v>51.806761534102279</c:v>
                </c:pt>
                <c:pt idx="3">
                  <c:v>86.937366599087497</c:v>
                </c:pt>
                <c:pt idx="4">
                  <c:v>96.531660674583634</c:v>
                </c:pt>
              </c:numCache>
            </c:numRef>
          </c:val>
        </c:ser>
        <c:ser>
          <c:idx val="3"/>
          <c:order val="3"/>
          <c:tx>
            <c:strRef>
              <c:f>Sheet2!$E$13</c:f>
              <c:strCache>
                <c:ptCount val="1"/>
                <c:pt idx="0">
                  <c:v>Not sure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Sheet2!$A$14:$A$18</c:f>
              <c:strCache>
                <c:ptCount val="5"/>
                <c:pt idx="0">
                  <c:v>Underweight</c:v>
                </c:pt>
                <c:pt idx="1">
                  <c:v>Normal</c:v>
                </c:pt>
                <c:pt idx="2">
                  <c:v>Overweight</c:v>
                </c:pt>
                <c:pt idx="3">
                  <c:v>Obese</c:v>
                </c:pt>
                <c:pt idx="4">
                  <c:v>Morbidly Obese</c:v>
                </c:pt>
              </c:strCache>
            </c:strRef>
          </c:cat>
          <c:val>
            <c:numRef>
              <c:f>Sheet2!$E$14:$E$18</c:f>
              <c:numCache>
                <c:formatCode>0</c:formatCode>
                <c:ptCount val="5"/>
                <c:pt idx="0">
                  <c:v>6.8321754500937075</c:v>
                </c:pt>
                <c:pt idx="1">
                  <c:v>4.6500798832228334</c:v>
                </c:pt>
                <c:pt idx="2">
                  <c:v>4.5023747230894795</c:v>
                </c:pt>
                <c:pt idx="3">
                  <c:v>2.3698419011370349</c:v>
                </c:pt>
                <c:pt idx="4">
                  <c:v>0</c:v>
                </c:pt>
              </c:numCache>
            </c:numRef>
          </c:val>
        </c:ser>
        <c:dLbls>
          <c:showLegendKey val="0"/>
          <c:showVal val="1"/>
          <c:showCatName val="0"/>
          <c:showSerName val="0"/>
          <c:showPercent val="0"/>
          <c:showBubbleSize val="0"/>
        </c:dLbls>
        <c:gapWidth val="70"/>
        <c:overlap val="100"/>
        <c:axId val="173074688"/>
        <c:axId val="173101056"/>
      </c:barChart>
      <c:catAx>
        <c:axId val="173074688"/>
        <c:scaling>
          <c:orientation val="minMax"/>
        </c:scaling>
        <c:delete val="0"/>
        <c:axPos val="b"/>
        <c:majorTickMark val="out"/>
        <c:minorTickMark val="none"/>
        <c:tickLblPos val="nextTo"/>
        <c:txPr>
          <a:bodyPr/>
          <a:lstStyle/>
          <a:p>
            <a:pPr>
              <a:defRPr sz="900"/>
            </a:pPr>
            <a:endParaRPr lang="en-US"/>
          </a:p>
        </c:txPr>
        <c:crossAx val="173101056"/>
        <c:crosses val="autoZero"/>
        <c:auto val="1"/>
        <c:lblAlgn val="ctr"/>
        <c:lblOffset val="100"/>
        <c:noMultiLvlLbl val="0"/>
      </c:catAx>
      <c:valAx>
        <c:axId val="173101056"/>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3074688"/>
        <c:crosses val="autoZero"/>
        <c:crossBetween val="between"/>
        <c:majorUnit val="20"/>
      </c:valAx>
    </c:plotArea>
    <c:legend>
      <c:legendPos val="b"/>
      <c:layout>
        <c:manualLayout>
          <c:xMode val="edge"/>
          <c:yMode val="edge"/>
          <c:x val="0"/>
          <c:y val="0.924670138888893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Health over last 12 months</a:t>
            </a:r>
          </a:p>
        </c:rich>
      </c:tx>
      <c:layout>
        <c:manualLayout>
          <c:xMode val="edge"/>
          <c:yMode val="edge"/>
          <c:x val="2.946324433438609E-3"/>
          <c:y val="0"/>
        </c:manualLayout>
      </c:layout>
      <c:overlay val="0"/>
    </c:title>
    <c:autoTitleDeleted val="0"/>
    <c:plotArea>
      <c:layout>
        <c:manualLayout>
          <c:layoutTarget val="inner"/>
          <c:xMode val="edge"/>
          <c:yMode val="edge"/>
          <c:x val="0.10069767710754217"/>
          <c:y val="0.14237019230769229"/>
          <c:w val="0.89930232289245637"/>
          <c:h val="0.71706570512820511"/>
        </c:manualLayout>
      </c:layout>
      <c:barChart>
        <c:barDir val="col"/>
        <c:grouping val="clustered"/>
        <c:varyColors val="0"/>
        <c:ser>
          <c:idx val="0"/>
          <c:order val="0"/>
          <c:tx>
            <c:strRef>
              <c:f>'Health last 12 months'!$B$3</c:f>
              <c:strCache>
                <c:ptCount val="1"/>
                <c:pt idx="0">
                  <c:v>Overall</c:v>
                </c:pt>
              </c:strCache>
            </c:strRef>
          </c:tx>
          <c:spPr>
            <a:solidFill>
              <a:srgbClr val="4F81B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'Health last 12 months'!$A$4:$A$6</c:f>
              <c:strCache>
                <c:ptCount val="3"/>
                <c:pt idx="0">
                  <c:v>Good</c:v>
                </c:pt>
                <c:pt idx="1">
                  <c:v>Fairly Good</c:v>
                </c:pt>
                <c:pt idx="2">
                  <c:v>Not Good</c:v>
                </c:pt>
              </c:strCache>
            </c:strRef>
          </c:cat>
          <c:val>
            <c:numRef>
              <c:f>'Health last 12 months'!$B$4:$B$6</c:f>
              <c:numCache>
                <c:formatCode>0</c:formatCode>
                <c:ptCount val="3"/>
                <c:pt idx="0">
                  <c:v>60.860261965439975</c:v>
                </c:pt>
                <c:pt idx="1">
                  <c:v>23.892941922307539</c:v>
                </c:pt>
                <c:pt idx="2">
                  <c:v>15.246796112252078</c:v>
                </c:pt>
              </c:numCache>
            </c:numRef>
          </c:val>
        </c:ser>
        <c:dLbls>
          <c:showLegendKey val="0"/>
          <c:showVal val="0"/>
          <c:showCatName val="0"/>
          <c:showSerName val="0"/>
          <c:showPercent val="0"/>
          <c:showBubbleSize val="0"/>
        </c:dLbls>
        <c:gapWidth val="150"/>
        <c:axId val="130417792"/>
        <c:axId val="130419328"/>
      </c:barChart>
      <c:catAx>
        <c:axId val="130417792"/>
        <c:scaling>
          <c:orientation val="minMax"/>
        </c:scaling>
        <c:delete val="0"/>
        <c:axPos val="b"/>
        <c:majorTickMark val="out"/>
        <c:minorTickMark val="none"/>
        <c:tickLblPos val="nextTo"/>
        <c:txPr>
          <a:bodyPr/>
          <a:lstStyle/>
          <a:p>
            <a:pPr>
              <a:defRPr sz="900"/>
            </a:pPr>
            <a:endParaRPr lang="en-US"/>
          </a:p>
        </c:txPr>
        <c:crossAx val="130419328"/>
        <c:crosses val="autoZero"/>
        <c:auto val="1"/>
        <c:lblAlgn val="ctr"/>
        <c:lblOffset val="100"/>
        <c:noMultiLvlLbl val="0"/>
      </c:catAx>
      <c:valAx>
        <c:axId val="130419328"/>
        <c:scaling>
          <c:orientation val="minMax"/>
          <c:max val="70"/>
        </c:scaling>
        <c:delete val="0"/>
        <c:axPos val="l"/>
        <c:title>
          <c:tx>
            <c:rich>
              <a:bodyPr rot="0" vert="horz"/>
              <a:lstStyle/>
              <a:p>
                <a:pPr>
                  <a:defRPr sz="900"/>
                </a:pPr>
                <a:r>
                  <a:rPr lang="en-GB" sz="900"/>
                  <a:t>%</a:t>
                </a:r>
              </a:p>
            </c:rich>
          </c:tx>
          <c:layout>
            <c:manualLayout>
              <c:xMode val="edge"/>
              <c:yMode val="edge"/>
              <c:x val="1.253136309503162E-3"/>
              <c:y val="0.45760256410256456"/>
            </c:manualLayout>
          </c:layout>
          <c:overlay val="0"/>
        </c:title>
        <c:numFmt formatCode="0" sourceLinked="1"/>
        <c:majorTickMark val="out"/>
        <c:minorTickMark val="none"/>
        <c:tickLblPos val="nextTo"/>
        <c:txPr>
          <a:bodyPr/>
          <a:lstStyle/>
          <a:p>
            <a:pPr>
              <a:defRPr sz="900"/>
            </a:pPr>
            <a:endParaRPr lang="en-US"/>
          </a:p>
        </c:txPr>
        <c:crossAx val="130417792"/>
        <c:crosses val="autoZero"/>
        <c:crossBetween val="between"/>
        <c:majorUnit val="10"/>
      </c:valAx>
    </c:plotArea>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US"/>
              <a:t>BMI Category by Trying to Change Weight</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1123194444444442"/>
          <c:w val="0.89974542418518533"/>
          <c:h val="0.70245372158668851"/>
        </c:manualLayout>
      </c:layout>
      <c:barChart>
        <c:barDir val="col"/>
        <c:grouping val="stacked"/>
        <c:varyColors val="0"/>
        <c:ser>
          <c:idx val="0"/>
          <c:order val="0"/>
          <c:tx>
            <c:strRef>
              <c:f>Sheet2!$B$39</c:f>
              <c:strCache>
                <c:ptCount val="1"/>
                <c:pt idx="0">
                  <c:v>Trying to lose weight</c:v>
                </c:pt>
              </c:strCache>
            </c:strRef>
          </c:tx>
          <c:spPr>
            <a:solidFill>
              <a:srgbClr val="336600"/>
            </a:solidFill>
          </c:spPr>
          <c:invertIfNegative val="0"/>
          <c:dLbls>
            <c:dLbl>
              <c:idx val="0"/>
              <c:delete val="1"/>
            </c:dLbl>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Sheet2!$A$40:$A$44</c:f>
              <c:strCache>
                <c:ptCount val="5"/>
                <c:pt idx="0">
                  <c:v>Underweight</c:v>
                </c:pt>
                <c:pt idx="1">
                  <c:v>Normal</c:v>
                </c:pt>
                <c:pt idx="2">
                  <c:v>Overweight</c:v>
                </c:pt>
                <c:pt idx="3">
                  <c:v>Obese</c:v>
                </c:pt>
                <c:pt idx="4">
                  <c:v>Morbidly Obese</c:v>
                </c:pt>
              </c:strCache>
            </c:strRef>
          </c:cat>
          <c:val>
            <c:numRef>
              <c:f>Sheet2!$B$40:$B$44</c:f>
              <c:numCache>
                <c:formatCode>0</c:formatCode>
                <c:ptCount val="5"/>
                <c:pt idx="0">
                  <c:v>1.0833643410211768</c:v>
                </c:pt>
                <c:pt idx="1">
                  <c:v>17.943231447679469</c:v>
                </c:pt>
                <c:pt idx="2">
                  <c:v>42.845864844157781</c:v>
                </c:pt>
                <c:pt idx="3">
                  <c:v>70.184422021782709</c:v>
                </c:pt>
                <c:pt idx="4">
                  <c:v>74.725939859150088</c:v>
                </c:pt>
              </c:numCache>
            </c:numRef>
          </c:val>
        </c:ser>
        <c:ser>
          <c:idx val="1"/>
          <c:order val="1"/>
          <c:tx>
            <c:strRef>
              <c:f>Sheet2!$C$39</c:f>
              <c:strCache>
                <c:ptCount val="1"/>
                <c:pt idx="0">
                  <c:v>Not trying to change weight</c:v>
                </c:pt>
              </c:strCache>
            </c:strRef>
          </c:tx>
          <c:spPr>
            <a:solidFill>
              <a:srgbClr val="009900"/>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Sheet2!$A$40:$A$44</c:f>
              <c:strCache>
                <c:ptCount val="5"/>
                <c:pt idx="0">
                  <c:v>Underweight</c:v>
                </c:pt>
                <c:pt idx="1">
                  <c:v>Normal</c:v>
                </c:pt>
                <c:pt idx="2">
                  <c:v>Overweight</c:v>
                </c:pt>
                <c:pt idx="3">
                  <c:v>Obese</c:v>
                </c:pt>
                <c:pt idx="4">
                  <c:v>Morbidly Obese</c:v>
                </c:pt>
              </c:strCache>
            </c:strRef>
          </c:cat>
          <c:val>
            <c:numRef>
              <c:f>Sheet2!$C$40:$C$44</c:f>
              <c:numCache>
                <c:formatCode>0</c:formatCode>
                <c:ptCount val="5"/>
                <c:pt idx="0">
                  <c:v>78.071614972253073</c:v>
                </c:pt>
                <c:pt idx="1">
                  <c:v>76.936802406387315</c:v>
                </c:pt>
                <c:pt idx="2">
                  <c:v>55.673301956159285</c:v>
                </c:pt>
                <c:pt idx="3">
                  <c:v>29.543694287307414</c:v>
                </c:pt>
                <c:pt idx="4">
                  <c:v>24.0105611475357</c:v>
                </c:pt>
              </c:numCache>
            </c:numRef>
          </c:val>
        </c:ser>
        <c:ser>
          <c:idx val="2"/>
          <c:order val="2"/>
          <c:tx>
            <c:strRef>
              <c:f>Sheet2!$D$39</c:f>
              <c:strCache>
                <c:ptCount val="1"/>
                <c:pt idx="0">
                  <c:v>Trying to gain weight</c:v>
                </c:pt>
              </c:strCache>
            </c:strRef>
          </c:tx>
          <c:spPr>
            <a:solidFill>
              <a:srgbClr val="CCFFCC"/>
            </a:solidFill>
          </c:spPr>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txPr>
              <a:bodyPr/>
              <a:lstStyle/>
              <a:p>
                <a:pPr>
                  <a:defRPr sz="900"/>
                </a:pPr>
                <a:endParaRPr lang="en-US"/>
              </a:p>
            </c:txPr>
            <c:showLegendKey val="0"/>
            <c:showVal val="0"/>
            <c:showCatName val="0"/>
            <c:showSerName val="0"/>
            <c:showPercent val="0"/>
            <c:showBubbleSize val="0"/>
          </c:dLbls>
          <c:cat>
            <c:strRef>
              <c:f>Sheet2!$A$40:$A$44</c:f>
              <c:strCache>
                <c:ptCount val="5"/>
                <c:pt idx="0">
                  <c:v>Underweight</c:v>
                </c:pt>
                <c:pt idx="1">
                  <c:v>Normal</c:v>
                </c:pt>
                <c:pt idx="2">
                  <c:v>Overweight</c:v>
                </c:pt>
                <c:pt idx="3">
                  <c:v>Obese</c:v>
                </c:pt>
                <c:pt idx="4">
                  <c:v>Morbidly Obese</c:v>
                </c:pt>
              </c:strCache>
            </c:strRef>
          </c:cat>
          <c:val>
            <c:numRef>
              <c:f>Sheet2!$D$40:$D$44</c:f>
              <c:numCache>
                <c:formatCode>0</c:formatCode>
                <c:ptCount val="5"/>
                <c:pt idx="0">
                  <c:v>20.84502068672559</c:v>
                </c:pt>
                <c:pt idx="1">
                  <c:v>5.1199661459328834</c:v>
                </c:pt>
                <c:pt idx="2">
                  <c:v>1.4808331996828259</c:v>
                </c:pt>
                <c:pt idx="3">
                  <c:v>0.27188369090961145</c:v>
                </c:pt>
                <c:pt idx="4">
                  <c:v>1.263498993314162</c:v>
                </c:pt>
              </c:numCache>
            </c:numRef>
          </c:val>
        </c:ser>
        <c:dLbls>
          <c:showLegendKey val="0"/>
          <c:showVal val="1"/>
          <c:showCatName val="0"/>
          <c:showSerName val="0"/>
          <c:showPercent val="0"/>
          <c:showBubbleSize val="0"/>
        </c:dLbls>
        <c:gapWidth val="70"/>
        <c:overlap val="100"/>
        <c:axId val="173124992"/>
        <c:axId val="173126784"/>
      </c:barChart>
      <c:catAx>
        <c:axId val="173124992"/>
        <c:scaling>
          <c:orientation val="minMax"/>
        </c:scaling>
        <c:delete val="0"/>
        <c:axPos val="b"/>
        <c:majorTickMark val="out"/>
        <c:minorTickMark val="none"/>
        <c:tickLblPos val="nextTo"/>
        <c:txPr>
          <a:bodyPr/>
          <a:lstStyle/>
          <a:p>
            <a:pPr>
              <a:defRPr sz="900"/>
            </a:pPr>
            <a:endParaRPr lang="en-US"/>
          </a:p>
        </c:txPr>
        <c:crossAx val="173126784"/>
        <c:crosses val="autoZero"/>
        <c:auto val="1"/>
        <c:lblAlgn val="ctr"/>
        <c:lblOffset val="100"/>
        <c:noMultiLvlLbl val="0"/>
      </c:catAx>
      <c:valAx>
        <c:axId val="173126784"/>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3124992"/>
        <c:crosses val="autoZero"/>
        <c:crossBetween val="between"/>
        <c:majorUnit val="20"/>
      </c:valAx>
    </c:plotArea>
    <c:legend>
      <c:legendPos val="b"/>
      <c:layout>
        <c:manualLayout>
          <c:xMode val="edge"/>
          <c:yMode val="edge"/>
          <c:x val="0"/>
          <c:y val="0.92467013888889482"/>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Physical Activity by Gender</a:t>
            </a:r>
          </a:p>
        </c:rich>
      </c:tx>
      <c:layout>
        <c:manualLayout>
          <c:xMode val="edge"/>
          <c:yMode val="edge"/>
          <c:x val="1.1223822247444397E-3"/>
          <c:y val="7.3664825046040622E-3"/>
        </c:manualLayout>
      </c:layout>
      <c:overlay val="0"/>
    </c:title>
    <c:autoTitleDeleted val="0"/>
    <c:plotArea>
      <c:layout>
        <c:manualLayout>
          <c:layoutTarget val="inner"/>
          <c:xMode val="edge"/>
          <c:yMode val="edge"/>
          <c:x val="9.7718602973786525E-2"/>
          <c:y val="0.13969841262325672"/>
          <c:w val="0.89974542418518"/>
          <c:h val="0.66019573770957873"/>
        </c:manualLayout>
      </c:layout>
      <c:barChart>
        <c:barDir val="col"/>
        <c:grouping val="stacked"/>
        <c:varyColors val="0"/>
        <c:ser>
          <c:idx val="0"/>
          <c:order val="0"/>
          <c:tx>
            <c:strRef>
              <c:f>Sheet1!$A$60</c:f>
              <c:strCache>
                <c:ptCount val="1"/>
                <c:pt idx="0">
                  <c:v>Meets recommendations</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Sheet1!$B$59:$C$59</c:f>
              <c:strCache>
                <c:ptCount val="2"/>
                <c:pt idx="0">
                  <c:v>Male</c:v>
                </c:pt>
                <c:pt idx="1">
                  <c:v>Female</c:v>
                </c:pt>
              </c:strCache>
            </c:strRef>
          </c:cat>
          <c:val>
            <c:numRef>
              <c:f>Sheet1!$B$60:$C$60</c:f>
              <c:numCache>
                <c:formatCode>0</c:formatCode>
                <c:ptCount val="2"/>
                <c:pt idx="0">
                  <c:v>58.75220843273511</c:v>
                </c:pt>
                <c:pt idx="1">
                  <c:v>49.028947041447047</c:v>
                </c:pt>
              </c:numCache>
            </c:numRef>
          </c:val>
        </c:ser>
        <c:ser>
          <c:idx val="1"/>
          <c:order val="1"/>
          <c:tx>
            <c:strRef>
              <c:f>Sheet1!$A$61</c:f>
              <c:strCache>
                <c:ptCount val="1"/>
                <c:pt idx="0">
                  <c:v>Some activity</c:v>
                </c:pt>
              </c:strCache>
            </c:strRef>
          </c:tx>
          <c:spPr>
            <a:solidFill>
              <a:srgbClr val="00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Sheet1!$B$59:$C$59</c:f>
              <c:strCache>
                <c:ptCount val="2"/>
                <c:pt idx="0">
                  <c:v>Male</c:v>
                </c:pt>
                <c:pt idx="1">
                  <c:v>Female</c:v>
                </c:pt>
              </c:strCache>
            </c:strRef>
          </c:cat>
          <c:val>
            <c:numRef>
              <c:f>Sheet1!$B$61:$C$61</c:f>
              <c:numCache>
                <c:formatCode>0</c:formatCode>
                <c:ptCount val="2"/>
                <c:pt idx="0">
                  <c:v>14.1087355967167</c:v>
                </c:pt>
                <c:pt idx="1">
                  <c:v>14.419313227943739</c:v>
                </c:pt>
              </c:numCache>
            </c:numRef>
          </c:val>
        </c:ser>
        <c:ser>
          <c:idx val="2"/>
          <c:order val="2"/>
          <c:tx>
            <c:strRef>
              <c:f>Sheet1!$A$62</c:f>
              <c:strCache>
                <c:ptCount val="1"/>
                <c:pt idx="0">
                  <c:v>Low activity</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Sheet1!$B$59:$C$59</c:f>
              <c:strCache>
                <c:ptCount val="2"/>
                <c:pt idx="0">
                  <c:v>Male</c:v>
                </c:pt>
                <c:pt idx="1">
                  <c:v>Female</c:v>
                </c:pt>
              </c:strCache>
            </c:strRef>
          </c:cat>
          <c:val>
            <c:numRef>
              <c:f>Sheet1!$B$62:$C$62</c:f>
              <c:numCache>
                <c:formatCode>0</c:formatCode>
                <c:ptCount val="2"/>
                <c:pt idx="0">
                  <c:v>3.4785266464330276</c:v>
                </c:pt>
                <c:pt idx="1">
                  <c:v>5.2077270255693318</c:v>
                </c:pt>
              </c:numCache>
            </c:numRef>
          </c:val>
        </c:ser>
        <c:ser>
          <c:idx val="3"/>
          <c:order val="3"/>
          <c:tx>
            <c:strRef>
              <c:f>Sheet1!$A$63</c:f>
              <c:strCache>
                <c:ptCount val="1"/>
                <c:pt idx="0">
                  <c:v>Inactive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Sheet1!$B$59:$C$59</c:f>
              <c:strCache>
                <c:ptCount val="2"/>
                <c:pt idx="0">
                  <c:v>Male</c:v>
                </c:pt>
                <c:pt idx="1">
                  <c:v>Female</c:v>
                </c:pt>
              </c:strCache>
            </c:strRef>
          </c:cat>
          <c:val>
            <c:numRef>
              <c:f>Sheet1!$B$63:$C$63</c:f>
              <c:numCache>
                <c:formatCode>0</c:formatCode>
                <c:ptCount val="2"/>
                <c:pt idx="0">
                  <c:v>23.660529324114876</c:v>
                </c:pt>
                <c:pt idx="1">
                  <c:v>31.344012705039887</c:v>
                </c:pt>
              </c:numCache>
            </c:numRef>
          </c:val>
        </c:ser>
        <c:dLbls>
          <c:showLegendKey val="0"/>
          <c:showVal val="1"/>
          <c:showCatName val="0"/>
          <c:showSerName val="0"/>
          <c:showPercent val="0"/>
          <c:showBubbleSize val="0"/>
        </c:dLbls>
        <c:gapWidth val="70"/>
        <c:overlap val="100"/>
        <c:axId val="173196800"/>
        <c:axId val="173198336"/>
      </c:barChart>
      <c:catAx>
        <c:axId val="173196800"/>
        <c:scaling>
          <c:orientation val="minMax"/>
        </c:scaling>
        <c:delete val="0"/>
        <c:axPos val="b"/>
        <c:majorTickMark val="out"/>
        <c:minorTickMark val="none"/>
        <c:tickLblPos val="nextTo"/>
        <c:txPr>
          <a:bodyPr/>
          <a:lstStyle/>
          <a:p>
            <a:pPr>
              <a:defRPr sz="900"/>
            </a:pPr>
            <a:endParaRPr lang="en-US"/>
          </a:p>
        </c:txPr>
        <c:crossAx val="173198336"/>
        <c:crosses val="autoZero"/>
        <c:auto val="1"/>
        <c:lblAlgn val="ctr"/>
        <c:lblOffset val="100"/>
        <c:noMultiLvlLbl val="0"/>
      </c:catAx>
      <c:valAx>
        <c:axId val="173198336"/>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3196800"/>
        <c:crosses val="autoZero"/>
        <c:crossBetween val="between"/>
        <c:majorUnit val="20"/>
      </c:valAx>
    </c:plotArea>
    <c:legend>
      <c:legendPos val="b"/>
      <c:layout>
        <c:manualLayout>
          <c:xMode val="edge"/>
          <c:yMode val="edge"/>
          <c:x val="0"/>
          <c:y val="0.90462587245746606"/>
          <c:w val="0.9978778509571451"/>
          <c:h val="9.0563544259312748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Physical Activity by Deprivation</a:t>
            </a:r>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4103472222222221"/>
          <c:w val="0.89974542418518"/>
          <c:h val="0.64549652777777777"/>
        </c:manualLayout>
      </c:layout>
      <c:barChart>
        <c:barDir val="col"/>
        <c:grouping val="stacked"/>
        <c:varyColors val="0"/>
        <c:ser>
          <c:idx val="0"/>
          <c:order val="0"/>
          <c:tx>
            <c:strRef>
              <c:f>Sheet1!$A$67</c:f>
              <c:strCache>
                <c:ptCount val="1"/>
                <c:pt idx="0">
                  <c:v>Meets recommendations</c:v>
                </c:pt>
              </c:strCache>
            </c:strRef>
          </c:tx>
          <c:spPr>
            <a:solidFill>
              <a:srgbClr val="3366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Sheet1!$B$66:$C$66</c:f>
              <c:strCache>
                <c:ptCount val="2"/>
                <c:pt idx="0">
                  <c:v>Most Deprived</c:v>
                </c:pt>
                <c:pt idx="1">
                  <c:v>Least Deprived</c:v>
                </c:pt>
              </c:strCache>
            </c:strRef>
          </c:cat>
          <c:val>
            <c:numRef>
              <c:f>Sheet1!$B$67:$C$67</c:f>
              <c:numCache>
                <c:formatCode>0</c:formatCode>
                <c:ptCount val="2"/>
                <c:pt idx="0">
                  <c:v>45.478550856884809</c:v>
                </c:pt>
                <c:pt idx="1">
                  <c:v>59.358417967184558</c:v>
                </c:pt>
              </c:numCache>
            </c:numRef>
          </c:val>
        </c:ser>
        <c:ser>
          <c:idx val="1"/>
          <c:order val="1"/>
          <c:tx>
            <c:strRef>
              <c:f>Sheet1!$A$68</c:f>
              <c:strCache>
                <c:ptCount val="1"/>
                <c:pt idx="0">
                  <c:v>Some activity</c:v>
                </c:pt>
              </c:strCache>
            </c:strRef>
          </c:tx>
          <c:spPr>
            <a:solidFill>
              <a:srgbClr val="618DC3"/>
            </a:solidFill>
          </c:spPr>
          <c:invertIfNegative val="0"/>
          <c:dPt>
            <c:idx val="0"/>
            <c:invertIfNegative val="0"/>
            <c:bubble3D val="0"/>
            <c:spPr>
              <a:solidFill>
                <a:srgbClr val="009900"/>
              </a:solidFill>
            </c:spPr>
          </c:dPt>
          <c:dPt>
            <c:idx val="1"/>
            <c:invertIfNegative val="0"/>
            <c:bubble3D val="0"/>
            <c:spPr>
              <a:solidFill>
                <a:srgbClr val="009900"/>
              </a:solidFill>
            </c:spPr>
          </c:dPt>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Sheet1!$B$66:$C$66</c:f>
              <c:strCache>
                <c:ptCount val="2"/>
                <c:pt idx="0">
                  <c:v>Most Deprived</c:v>
                </c:pt>
                <c:pt idx="1">
                  <c:v>Least Deprived</c:v>
                </c:pt>
              </c:strCache>
            </c:strRef>
          </c:cat>
          <c:val>
            <c:numRef>
              <c:f>Sheet1!$B$68:$C$68</c:f>
              <c:numCache>
                <c:formatCode>0</c:formatCode>
                <c:ptCount val="2"/>
                <c:pt idx="0">
                  <c:v>13.073470752627806</c:v>
                </c:pt>
                <c:pt idx="1">
                  <c:v>15.600803056989404</c:v>
                </c:pt>
              </c:numCache>
            </c:numRef>
          </c:val>
        </c:ser>
        <c:ser>
          <c:idx val="2"/>
          <c:order val="2"/>
          <c:tx>
            <c:strRef>
              <c:f>Sheet1!$A$69</c:f>
              <c:strCache>
                <c:ptCount val="1"/>
                <c:pt idx="0">
                  <c:v>Low activity</c:v>
                </c:pt>
              </c:strCache>
            </c:strRef>
          </c:tx>
          <c:spPr>
            <a:solidFill>
              <a:srgbClr val="99FF66"/>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Sheet1!$B$66:$C$66</c:f>
              <c:strCache>
                <c:ptCount val="2"/>
                <c:pt idx="0">
                  <c:v>Most Deprived</c:v>
                </c:pt>
                <c:pt idx="1">
                  <c:v>Least Deprived</c:v>
                </c:pt>
              </c:strCache>
            </c:strRef>
          </c:cat>
          <c:val>
            <c:numRef>
              <c:f>Sheet1!$B$69:$C$69</c:f>
              <c:numCache>
                <c:formatCode>0</c:formatCode>
                <c:ptCount val="2"/>
                <c:pt idx="0">
                  <c:v>3.6400333942548038</c:v>
                </c:pt>
                <c:pt idx="1">
                  <c:v>3.3628717626166358</c:v>
                </c:pt>
              </c:numCache>
            </c:numRef>
          </c:val>
        </c:ser>
        <c:ser>
          <c:idx val="3"/>
          <c:order val="3"/>
          <c:tx>
            <c:strRef>
              <c:f>Sheet1!$A$70</c:f>
              <c:strCache>
                <c:ptCount val="1"/>
                <c:pt idx="0">
                  <c:v>Inactive</c:v>
                </c:pt>
              </c:strCache>
            </c:strRef>
          </c:tx>
          <c:spPr>
            <a:solidFill>
              <a:srgbClr val="CCFF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Sheet1!$B$66:$C$66</c:f>
              <c:strCache>
                <c:ptCount val="2"/>
                <c:pt idx="0">
                  <c:v>Most Deprived</c:v>
                </c:pt>
                <c:pt idx="1">
                  <c:v>Least Deprived</c:v>
                </c:pt>
              </c:strCache>
            </c:strRef>
          </c:cat>
          <c:val>
            <c:numRef>
              <c:f>Sheet1!$B$70:$C$70</c:f>
              <c:numCache>
                <c:formatCode>0</c:formatCode>
                <c:ptCount val="2"/>
                <c:pt idx="0">
                  <c:v>37.807944996232891</c:v>
                </c:pt>
                <c:pt idx="1">
                  <c:v>21.677907213209501</c:v>
                </c:pt>
              </c:numCache>
            </c:numRef>
          </c:val>
        </c:ser>
        <c:dLbls>
          <c:showLegendKey val="0"/>
          <c:showVal val="1"/>
          <c:showCatName val="0"/>
          <c:showSerName val="0"/>
          <c:showPercent val="0"/>
          <c:showBubbleSize val="0"/>
        </c:dLbls>
        <c:gapWidth val="70"/>
        <c:overlap val="100"/>
        <c:axId val="173269376"/>
        <c:axId val="173270912"/>
      </c:barChart>
      <c:catAx>
        <c:axId val="173269376"/>
        <c:scaling>
          <c:orientation val="minMax"/>
        </c:scaling>
        <c:delete val="0"/>
        <c:axPos val="b"/>
        <c:majorTickMark val="out"/>
        <c:minorTickMark val="none"/>
        <c:tickLblPos val="nextTo"/>
        <c:txPr>
          <a:bodyPr/>
          <a:lstStyle/>
          <a:p>
            <a:pPr>
              <a:defRPr sz="900"/>
            </a:pPr>
            <a:endParaRPr lang="en-US"/>
          </a:p>
        </c:txPr>
        <c:crossAx val="173270912"/>
        <c:crosses val="autoZero"/>
        <c:auto val="1"/>
        <c:lblAlgn val="ctr"/>
        <c:lblOffset val="100"/>
        <c:noMultiLvlLbl val="0"/>
      </c:catAx>
      <c:valAx>
        <c:axId val="173270912"/>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73269376"/>
        <c:crosses val="autoZero"/>
        <c:crossBetween val="between"/>
        <c:majorUnit val="20"/>
      </c:valAx>
    </c:plotArea>
    <c:legend>
      <c:legendPos val="b"/>
      <c:layout>
        <c:manualLayout>
          <c:xMode val="edge"/>
          <c:yMode val="edge"/>
          <c:x val="0"/>
          <c:y val="0.92467013888889138"/>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Muscle-strengthening</a:t>
            </a:r>
            <a:r>
              <a:rPr lang="en-GB" sz="1000" baseline="0"/>
              <a:t> Exercise by Deprivation</a:t>
            </a:r>
          </a:p>
        </c:rich>
      </c:tx>
      <c:layout>
        <c:manualLayout>
          <c:xMode val="edge"/>
          <c:yMode val="edge"/>
          <c:x val="2.3158151742660228E-3"/>
          <c:y val="0"/>
        </c:manualLayout>
      </c:layout>
      <c:overlay val="0"/>
    </c:title>
    <c:autoTitleDeleted val="0"/>
    <c:plotArea>
      <c:layout>
        <c:manualLayout>
          <c:layoutTarget val="inner"/>
          <c:xMode val="edge"/>
          <c:yMode val="edge"/>
          <c:x val="0.10044769734179694"/>
          <c:y val="0.13021965811965813"/>
          <c:w val="0.89482627446899565"/>
          <c:h val="0.75615213675213677"/>
        </c:manualLayout>
      </c:layout>
      <c:barChart>
        <c:barDir val="col"/>
        <c:grouping val="clustered"/>
        <c:varyColors val="0"/>
        <c:ser>
          <c:idx val="0"/>
          <c:order val="0"/>
          <c:tx>
            <c:strRef>
              <c:f>Sheet7!$A$5</c:f>
              <c:strCache>
                <c:ptCount val="1"/>
                <c:pt idx="0">
                  <c:v>All over 19</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(Sheet7!$L$3,Sheet7!$P$3)</c:f>
              <c:strCache>
                <c:ptCount val="2"/>
                <c:pt idx="0">
                  <c:v>Most Deprived</c:v>
                </c:pt>
                <c:pt idx="1">
                  <c:v>Least Deprived</c:v>
                </c:pt>
              </c:strCache>
            </c:strRef>
          </c:cat>
          <c:val>
            <c:numRef>
              <c:f>(Sheet7!$L$5,Sheet7!$P$5)</c:f>
              <c:numCache>
                <c:formatCode>0</c:formatCode>
                <c:ptCount val="2"/>
                <c:pt idx="0">
                  <c:v>15.158765529699821</c:v>
                </c:pt>
                <c:pt idx="1">
                  <c:v>23.317906786682261</c:v>
                </c:pt>
              </c:numCache>
            </c:numRef>
          </c:val>
        </c:ser>
        <c:dLbls>
          <c:showLegendKey val="0"/>
          <c:showVal val="0"/>
          <c:showCatName val="0"/>
          <c:showSerName val="0"/>
          <c:showPercent val="0"/>
          <c:showBubbleSize val="0"/>
        </c:dLbls>
        <c:gapWidth val="150"/>
        <c:axId val="173308544"/>
        <c:axId val="173314432"/>
      </c:barChart>
      <c:catAx>
        <c:axId val="173308544"/>
        <c:scaling>
          <c:orientation val="minMax"/>
        </c:scaling>
        <c:delete val="0"/>
        <c:axPos val="b"/>
        <c:majorTickMark val="out"/>
        <c:minorTickMark val="none"/>
        <c:tickLblPos val="nextTo"/>
        <c:txPr>
          <a:bodyPr/>
          <a:lstStyle/>
          <a:p>
            <a:pPr>
              <a:defRPr sz="900"/>
            </a:pPr>
            <a:endParaRPr lang="en-US"/>
          </a:p>
        </c:txPr>
        <c:crossAx val="173314432"/>
        <c:crosses val="autoZero"/>
        <c:auto val="1"/>
        <c:lblAlgn val="ctr"/>
        <c:lblOffset val="100"/>
        <c:noMultiLvlLbl val="0"/>
      </c:catAx>
      <c:valAx>
        <c:axId val="173314432"/>
        <c:scaling>
          <c:orientation val="minMax"/>
          <c:max val="30"/>
        </c:scaling>
        <c:delete val="0"/>
        <c:axPos val="l"/>
        <c:title>
          <c:tx>
            <c:rich>
              <a:bodyPr rot="0" vert="horz"/>
              <a:lstStyle/>
              <a:p>
                <a:pPr>
                  <a:defRPr sz="900"/>
                </a:pPr>
                <a:r>
                  <a:rPr lang="en-GB" sz="900"/>
                  <a:t>%</a:t>
                </a:r>
              </a:p>
            </c:rich>
          </c:tx>
          <c:layout>
            <c:manualLayout>
              <c:xMode val="edge"/>
              <c:yMode val="edge"/>
              <c:x val="1.5779597003170761E-3"/>
              <c:y val="0.44217348771967746"/>
            </c:manualLayout>
          </c:layout>
          <c:overlay val="0"/>
        </c:title>
        <c:numFmt formatCode="0" sourceLinked="1"/>
        <c:majorTickMark val="out"/>
        <c:minorTickMark val="none"/>
        <c:tickLblPos val="nextTo"/>
        <c:txPr>
          <a:bodyPr/>
          <a:lstStyle/>
          <a:p>
            <a:pPr>
              <a:defRPr sz="900"/>
            </a:pPr>
            <a:endParaRPr lang="en-US"/>
          </a:p>
        </c:txPr>
        <c:crossAx val="173308544"/>
        <c:crosses val="autoZero"/>
        <c:crossBetween val="between"/>
        <c:majorUnit val="10"/>
      </c:valAx>
    </c:plotArea>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Muscle-strengthening</a:t>
            </a:r>
            <a:r>
              <a:rPr lang="en-GB" sz="1000" baseline="0"/>
              <a:t> Exercise by Age</a:t>
            </a:r>
            <a:endParaRPr lang="en-GB" sz="1000"/>
          </a:p>
        </c:rich>
      </c:tx>
      <c:layout>
        <c:manualLayout>
          <c:xMode val="edge"/>
          <c:yMode val="edge"/>
          <c:x val="2.3158151742660228E-3"/>
          <c:y val="0"/>
        </c:manualLayout>
      </c:layout>
      <c:overlay val="0"/>
    </c:title>
    <c:autoTitleDeleted val="0"/>
    <c:plotArea>
      <c:layout>
        <c:manualLayout>
          <c:layoutTarget val="inner"/>
          <c:xMode val="edge"/>
          <c:yMode val="edge"/>
          <c:x val="9.4559259259259426E-2"/>
          <c:y val="0.12214173228346466"/>
          <c:w val="0.88309375000000001"/>
          <c:h val="0.6988068376068387"/>
        </c:manualLayout>
      </c:layout>
      <c:barChart>
        <c:barDir val="col"/>
        <c:grouping val="clustered"/>
        <c:varyColors val="0"/>
        <c:ser>
          <c:idx val="0"/>
          <c:order val="0"/>
          <c:tx>
            <c:strRef>
              <c:f>Sheet7!$A$5</c:f>
              <c:strCache>
                <c:ptCount val="1"/>
                <c:pt idx="0">
                  <c:v>All over 19</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Sheet7!$Q$3:$W$3</c:f>
              <c:strCache>
                <c:ptCount val="7"/>
                <c:pt idx="0">
                  <c:v>19-24</c:v>
                </c:pt>
                <c:pt idx="1">
                  <c:v>25-34</c:v>
                </c:pt>
                <c:pt idx="2">
                  <c:v>35-44</c:v>
                </c:pt>
                <c:pt idx="3">
                  <c:v>45-54</c:v>
                </c:pt>
                <c:pt idx="4">
                  <c:v>55-64</c:v>
                </c:pt>
                <c:pt idx="5">
                  <c:v>65-74</c:v>
                </c:pt>
                <c:pt idx="6">
                  <c:v>75+</c:v>
                </c:pt>
              </c:strCache>
            </c:strRef>
          </c:cat>
          <c:val>
            <c:numRef>
              <c:f>Sheet7!$Q$5:$W$5</c:f>
              <c:numCache>
                <c:formatCode>0</c:formatCode>
                <c:ptCount val="7"/>
                <c:pt idx="0">
                  <c:v>36.18764478233274</c:v>
                </c:pt>
                <c:pt idx="1">
                  <c:v>28.273591015148796</c:v>
                </c:pt>
                <c:pt idx="2">
                  <c:v>22.708765217251088</c:v>
                </c:pt>
                <c:pt idx="3">
                  <c:v>16.291220079370689</c:v>
                </c:pt>
                <c:pt idx="4">
                  <c:v>7.5011062633488095</c:v>
                </c:pt>
                <c:pt idx="5">
                  <c:v>6.009192195363946</c:v>
                </c:pt>
                <c:pt idx="6">
                  <c:v>1.0942909948205561</c:v>
                </c:pt>
              </c:numCache>
            </c:numRef>
          </c:val>
        </c:ser>
        <c:dLbls>
          <c:showLegendKey val="0"/>
          <c:showVal val="0"/>
          <c:showCatName val="0"/>
          <c:showSerName val="0"/>
          <c:showPercent val="0"/>
          <c:showBubbleSize val="0"/>
        </c:dLbls>
        <c:gapWidth val="150"/>
        <c:axId val="173335296"/>
        <c:axId val="173336832"/>
      </c:barChart>
      <c:catAx>
        <c:axId val="173335296"/>
        <c:scaling>
          <c:orientation val="minMax"/>
        </c:scaling>
        <c:delete val="0"/>
        <c:axPos val="b"/>
        <c:majorTickMark val="out"/>
        <c:minorTickMark val="none"/>
        <c:tickLblPos val="nextTo"/>
        <c:txPr>
          <a:bodyPr/>
          <a:lstStyle/>
          <a:p>
            <a:pPr>
              <a:defRPr sz="900"/>
            </a:pPr>
            <a:endParaRPr lang="en-US"/>
          </a:p>
        </c:txPr>
        <c:crossAx val="173336832"/>
        <c:crosses val="autoZero"/>
        <c:auto val="1"/>
        <c:lblAlgn val="ctr"/>
        <c:lblOffset val="100"/>
        <c:noMultiLvlLbl val="0"/>
      </c:catAx>
      <c:valAx>
        <c:axId val="173336832"/>
        <c:scaling>
          <c:orientation val="minMax"/>
          <c:max val="40"/>
        </c:scaling>
        <c:delete val="0"/>
        <c:axPos val="l"/>
        <c:title>
          <c:tx>
            <c:rich>
              <a:bodyPr rot="0" vert="horz"/>
              <a:lstStyle/>
              <a:p>
                <a:pPr>
                  <a:defRPr sz="900"/>
                </a:pPr>
                <a:r>
                  <a:rPr lang="en-GB" sz="900"/>
                  <a:t>%</a:t>
                </a:r>
              </a:p>
            </c:rich>
          </c:tx>
          <c:layout>
            <c:manualLayout>
              <c:xMode val="edge"/>
              <c:yMode val="edge"/>
              <c:x val="1.5779597003170761E-3"/>
              <c:y val="0.44217348771967746"/>
            </c:manualLayout>
          </c:layout>
          <c:overlay val="0"/>
        </c:title>
        <c:numFmt formatCode="0" sourceLinked="1"/>
        <c:majorTickMark val="out"/>
        <c:minorTickMark val="none"/>
        <c:tickLblPos val="nextTo"/>
        <c:txPr>
          <a:bodyPr/>
          <a:lstStyle/>
          <a:p>
            <a:pPr>
              <a:defRPr sz="900"/>
            </a:pPr>
            <a:endParaRPr lang="en-US"/>
          </a:p>
        </c:txPr>
        <c:crossAx val="173335296"/>
        <c:crosses val="autoZero"/>
        <c:crossBetween val="between"/>
        <c:majorUnit val="10"/>
      </c:valAx>
    </c:plotArea>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Muscle-Strengthening Exercise by BMI Category &amp; Gender</a:t>
            </a:r>
          </a:p>
        </c:rich>
      </c:tx>
      <c:layout>
        <c:manualLayout>
          <c:xMode val="edge"/>
          <c:yMode val="edge"/>
          <c:x val="4.9203703703703701E-3"/>
          <c:y val="0"/>
        </c:manualLayout>
      </c:layout>
      <c:overlay val="0"/>
    </c:title>
    <c:autoTitleDeleted val="0"/>
    <c:plotArea>
      <c:layout>
        <c:manualLayout>
          <c:layoutTarget val="inner"/>
          <c:xMode val="edge"/>
          <c:yMode val="edge"/>
          <c:x val="8.6662037037037037E-2"/>
          <c:y val="0.1181565889169516"/>
          <c:w val="0.91333796296296144"/>
          <c:h val="0.67990135195364765"/>
        </c:manualLayout>
      </c:layout>
      <c:barChart>
        <c:barDir val="col"/>
        <c:grouping val="clustered"/>
        <c:varyColors val="0"/>
        <c:ser>
          <c:idx val="0"/>
          <c:order val="0"/>
          <c:tx>
            <c:strRef>
              <c:f>Sheet7!$B$50</c:f>
              <c:strCache>
                <c:ptCount val="1"/>
                <c:pt idx="0">
                  <c:v>Male</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Sheet7!$A$51:$A$53</c:f>
              <c:strCache>
                <c:ptCount val="3"/>
                <c:pt idx="0">
                  <c:v>Normal / Underweight</c:v>
                </c:pt>
                <c:pt idx="1">
                  <c:v>Overweight</c:v>
                </c:pt>
                <c:pt idx="2">
                  <c:v>Obese</c:v>
                </c:pt>
              </c:strCache>
            </c:strRef>
          </c:cat>
          <c:val>
            <c:numRef>
              <c:f>Sheet7!$B$51:$B$53</c:f>
              <c:numCache>
                <c:formatCode>0</c:formatCode>
                <c:ptCount val="3"/>
                <c:pt idx="0">
                  <c:v>34.176606917087277</c:v>
                </c:pt>
                <c:pt idx="1">
                  <c:v>24.965751159064762</c:v>
                </c:pt>
                <c:pt idx="2">
                  <c:v>15.932272454735251</c:v>
                </c:pt>
              </c:numCache>
            </c:numRef>
          </c:val>
        </c:ser>
        <c:ser>
          <c:idx val="1"/>
          <c:order val="1"/>
          <c:tx>
            <c:strRef>
              <c:f>Sheet7!$C$50</c:f>
              <c:strCache>
                <c:ptCount val="1"/>
                <c:pt idx="0">
                  <c:v>Female</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Sheet7!$A$51:$A$53</c:f>
              <c:strCache>
                <c:ptCount val="3"/>
                <c:pt idx="0">
                  <c:v>Normal / Underweight</c:v>
                </c:pt>
                <c:pt idx="1">
                  <c:v>Overweight</c:v>
                </c:pt>
                <c:pt idx="2">
                  <c:v>Obese</c:v>
                </c:pt>
              </c:strCache>
            </c:strRef>
          </c:cat>
          <c:val>
            <c:numRef>
              <c:f>Sheet7!$C$51:$C$53</c:f>
              <c:numCache>
                <c:formatCode>0</c:formatCode>
                <c:ptCount val="3"/>
                <c:pt idx="0">
                  <c:v>19.906910159209847</c:v>
                </c:pt>
                <c:pt idx="1">
                  <c:v>17.692485478365896</c:v>
                </c:pt>
                <c:pt idx="2">
                  <c:v>8.9133967573850228</c:v>
                </c:pt>
              </c:numCache>
            </c:numRef>
          </c:val>
        </c:ser>
        <c:dLbls>
          <c:showLegendKey val="0"/>
          <c:showVal val="1"/>
          <c:showCatName val="0"/>
          <c:showSerName val="0"/>
          <c:showPercent val="0"/>
          <c:showBubbleSize val="0"/>
        </c:dLbls>
        <c:gapWidth val="150"/>
        <c:axId val="173400064"/>
        <c:axId val="173401600"/>
      </c:barChart>
      <c:catAx>
        <c:axId val="173400064"/>
        <c:scaling>
          <c:orientation val="minMax"/>
        </c:scaling>
        <c:delete val="0"/>
        <c:axPos val="b"/>
        <c:majorTickMark val="out"/>
        <c:minorTickMark val="none"/>
        <c:tickLblPos val="nextTo"/>
        <c:txPr>
          <a:bodyPr/>
          <a:lstStyle/>
          <a:p>
            <a:pPr>
              <a:defRPr sz="900"/>
            </a:pPr>
            <a:endParaRPr lang="en-US"/>
          </a:p>
        </c:txPr>
        <c:crossAx val="173401600"/>
        <c:crosses val="autoZero"/>
        <c:auto val="1"/>
        <c:lblAlgn val="ctr"/>
        <c:lblOffset val="100"/>
        <c:noMultiLvlLbl val="0"/>
      </c:catAx>
      <c:valAx>
        <c:axId val="173401600"/>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3400064"/>
        <c:crosses val="autoZero"/>
        <c:crossBetween val="between"/>
        <c:majorUnit val="10"/>
      </c:valAx>
    </c:plotArea>
    <c:legend>
      <c:legendPos val="b"/>
      <c:layout>
        <c:manualLayout>
          <c:xMode val="edge"/>
          <c:yMode val="edge"/>
          <c:x val="0.37647743055555588"/>
          <c:y val="0.85815763888889196"/>
          <c:w val="0.30560451388889076"/>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1792929292975"/>
          <c:y val="6.0255801358163552E-2"/>
          <c:w val="0.71409722222222261"/>
          <c:h val="0.85680956547098275"/>
        </c:manualLayout>
      </c:layout>
      <c:pieChart>
        <c:varyColors val="1"/>
        <c:ser>
          <c:idx val="0"/>
          <c:order val="0"/>
          <c:tx>
            <c:strRef>
              <c:f>Sheet4!$C$92</c:f>
              <c:strCache>
                <c:ptCount val="1"/>
                <c:pt idx="0">
                  <c:v>Time Spent Watching Television per Weekday</c:v>
                </c:pt>
              </c:strCache>
            </c:strRef>
          </c:tx>
          <c:dPt>
            <c:idx val="0"/>
            <c:bubble3D val="0"/>
            <c:spPr>
              <a:solidFill>
                <a:srgbClr val="669900"/>
              </a:solidFill>
            </c:spPr>
          </c:dPt>
          <c:dPt>
            <c:idx val="1"/>
            <c:bubble3D val="0"/>
            <c:spPr>
              <a:solidFill>
                <a:srgbClr val="333300"/>
              </a:solidFill>
            </c:spPr>
          </c:dPt>
          <c:dPt>
            <c:idx val="2"/>
            <c:bubble3D val="0"/>
            <c:spPr>
              <a:solidFill>
                <a:srgbClr val="99FF66"/>
              </a:solidFill>
            </c:spPr>
          </c:dPt>
          <c:dPt>
            <c:idx val="3"/>
            <c:bubble3D val="0"/>
            <c:spPr>
              <a:solidFill>
                <a:srgbClr val="006600"/>
              </a:solidFill>
            </c:spPr>
          </c:dPt>
          <c:dPt>
            <c:idx val="4"/>
            <c:bubble3D val="0"/>
            <c:spPr>
              <a:solidFill>
                <a:srgbClr val="CCFFCC"/>
              </a:solidFill>
            </c:spPr>
          </c:dPt>
          <c:dLbls>
            <c:txPr>
              <a:bodyPr/>
              <a:lstStyle/>
              <a:p>
                <a:pPr>
                  <a:defRPr sz="900"/>
                </a:pPr>
                <a:endParaRPr lang="en-US"/>
              </a:p>
            </c:txPr>
            <c:dLblPos val="outEnd"/>
            <c:showLegendKey val="0"/>
            <c:showVal val="1"/>
            <c:showCatName val="0"/>
            <c:showSerName val="0"/>
            <c:showPercent val="0"/>
            <c:showBubbleSize val="0"/>
            <c:showLeaderLines val="1"/>
          </c:dLbls>
          <c:cat>
            <c:strRef>
              <c:f>Sheet4!$B$93:$B$97</c:f>
              <c:strCache>
                <c:ptCount val="5"/>
                <c:pt idx="0">
                  <c:v>Less than 1 hour </c:v>
                </c:pt>
                <c:pt idx="1">
                  <c:v>1-2 hours</c:v>
                </c:pt>
                <c:pt idx="2">
                  <c:v>2-3 hours</c:v>
                </c:pt>
                <c:pt idx="3">
                  <c:v>3-4 hours</c:v>
                </c:pt>
                <c:pt idx="4">
                  <c:v>Over 4 hours</c:v>
                </c:pt>
              </c:strCache>
            </c:strRef>
          </c:cat>
          <c:val>
            <c:numRef>
              <c:f>Sheet4!$C$93:$C$97</c:f>
              <c:numCache>
                <c:formatCode>0</c:formatCode>
                <c:ptCount val="5"/>
                <c:pt idx="0">
                  <c:v>25.98026022865341</c:v>
                </c:pt>
                <c:pt idx="1">
                  <c:v>29.115291324019235</c:v>
                </c:pt>
                <c:pt idx="2">
                  <c:v>18.00712816490093</c:v>
                </c:pt>
                <c:pt idx="3">
                  <c:v>11.064124907171411</c:v>
                </c:pt>
                <c:pt idx="4">
                  <c:v>15.833195375254714</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0">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1582318730007"/>
          <c:y val="8.1875000000000045E-2"/>
          <c:w val="0.68334940511290709"/>
          <c:h val="0.82084500000000105"/>
        </c:manualLayout>
      </c:layout>
      <c:pieChart>
        <c:varyColors val="1"/>
        <c:ser>
          <c:idx val="0"/>
          <c:order val="0"/>
          <c:tx>
            <c:strRef>
              <c:f>Sheet4!$D$92</c:f>
              <c:strCache>
                <c:ptCount val="1"/>
                <c:pt idx="0">
                  <c:v>Time Spent Watching Television per Weekend day</c:v>
                </c:pt>
              </c:strCache>
            </c:strRef>
          </c:tx>
          <c:dPt>
            <c:idx val="0"/>
            <c:bubble3D val="0"/>
            <c:spPr>
              <a:solidFill>
                <a:srgbClr val="669900"/>
              </a:solidFill>
            </c:spPr>
          </c:dPt>
          <c:dPt>
            <c:idx val="1"/>
            <c:bubble3D val="0"/>
            <c:spPr>
              <a:solidFill>
                <a:srgbClr val="333300"/>
              </a:solidFill>
            </c:spPr>
          </c:dPt>
          <c:dPt>
            <c:idx val="2"/>
            <c:bubble3D val="0"/>
            <c:spPr>
              <a:solidFill>
                <a:srgbClr val="99FF66"/>
              </a:solidFill>
            </c:spPr>
          </c:dPt>
          <c:dPt>
            <c:idx val="3"/>
            <c:bubble3D val="0"/>
            <c:spPr>
              <a:solidFill>
                <a:srgbClr val="006600"/>
              </a:solidFill>
            </c:spPr>
          </c:dPt>
          <c:dPt>
            <c:idx val="4"/>
            <c:bubble3D val="0"/>
            <c:spPr>
              <a:solidFill>
                <a:srgbClr val="CCFFCC"/>
              </a:solidFill>
            </c:spPr>
          </c:dPt>
          <c:dLbls>
            <c:txPr>
              <a:bodyPr/>
              <a:lstStyle/>
              <a:p>
                <a:pPr>
                  <a:defRPr sz="900"/>
                </a:pPr>
                <a:endParaRPr lang="en-US"/>
              </a:p>
            </c:txPr>
            <c:dLblPos val="outEnd"/>
            <c:showLegendKey val="0"/>
            <c:showVal val="1"/>
            <c:showCatName val="0"/>
            <c:showSerName val="0"/>
            <c:showPercent val="0"/>
            <c:showBubbleSize val="0"/>
            <c:showLeaderLines val="1"/>
          </c:dLbls>
          <c:cat>
            <c:strRef>
              <c:f>Sheet4!$B$93:$B$97</c:f>
              <c:strCache>
                <c:ptCount val="5"/>
                <c:pt idx="0">
                  <c:v>Less than 1 hour </c:v>
                </c:pt>
                <c:pt idx="1">
                  <c:v>1-2 hours</c:v>
                </c:pt>
                <c:pt idx="2">
                  <c:v>2-3 hours</c:v>
                </c:pt>
                <c:pt idx="3">
                  <c:v>3-4 hours</c:v>
                </c:pt>
                <c:pt idx="4">
                  <c:v>Over 4 hours</c:v>
                </c:pt>
              </c:strCache>
            </c:strRef>
          </c:cat>
          <c:val>
            <c:numRef>
              <c:f>Sheet4!$D$93:$D$97</c:f>
              <c:numCache>
                <c:formatCode>0</c:formatCode>
                <c:ptCount val="5"/>
                <c:pt idx="0">
                  <c:v>20.085973885907077</c:v>
                </c:pt>
                <c:pt idx="1">
                  <c:v>25.968262951284686</c:v>
                </c:pt>
                <c:pt idx="2">
                  <c:v>19.416957603398508</c:v>
                </c:pt>
                <c:pt idx="3">
                  <c:v>15.293759123314118</c:v>
                </c:pt>
                <c:pt idx="4">
                  <c:v>19.235046436095214</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0">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0415573053371"/>
          <c:y val="5.0925925925925923E-2"/>
          <c:w val="1.0880796150481192E-2"/>
          <c:h val="1.8134660250801987E-2"/>
        </c:manualLayout>
      </c:layout>
      <c:pieChart>
        <c:varyColors val="1"/>
        <c:ser>
          <c:idx val="2"/>
          <c:order val="2"/>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3"/>
          <c:order val="3"/>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4"/>
          <c:order val="4"/>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5"/>
          <c:order val="5"/>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1"/>
          <c:order val="1"/>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0"/>
          <c:order val="0"/>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4717703238675"/>
          <c:y val="8.559555555555573E-2"/>
          <c:w val="0.69189265438736469"/>
          <c:h val="0.83110722222222222"/>
        </c:manualLayout>
      </c:layout>
      <c:pieChart>
        <c:varyColors val="1"/>
        <c:ser>
          <c:idx val="0"/>
          <c:order val="0"/>
          <c:tx>
            <c:strRef>
              <c:f>Sheet4!$C$47</c:f>
              <c:strCache>
                <c:ptCount val="1"/>
                <c:pt idx="0">
                  <c:v>Inactive time per Weekday</c:v>
                </c:pt>
              </c:strCache>
            </c:strRef>
          </c:tx>
          <c:spPr>
            <a:solidFill>
              <a:srgbClr val="669900"/>
            </a:solidFill>
          </c:spPr>
          <c:dPt>
            <c:idx val="1"/>
            <c:bubble3D val="0"/>
            <c:spPr>
              <a:solidFill>
                <a:srgbClr val="333300"/>
              </a:solidFill>
            </c:spPr>
          </c:dPt>
          <c:dPt>
            <c:idx val="2"/>
            <c:bubble3D val="0"/>
            <c:spPr>
              <a:solidFill>
                <a:srgbClr val="99FF66"/>
              </a:solidFill>
            </c:spPr>
          </c:dPt>
          <c:dPt>
            <c:idx val="3"/>
            <c:bubble3D val="0"/>
            <c:spPr>
              <a:solidFill>
                <a:srgbClr val="006600"/>
              </a:solidFill>
            </c:spPr>
          </c:dPt>
          <c:dPt>
            <c:idx val="4"/>
            <c:bubble3D val="0"/>
            <c:spPr>
              <a:solidFill>
                <a:srgbClr val="CCFFCC"/>
              </a:solidFill>
            </c:spPr>
          </c:dPt>
          <c:dLbls>
            <c:txPr>
              <a:bodyPr/>
              <a:lstStyle/>
              <a:p>
                <a:pPr>
                  <a:defRPr sz="900"/>
                </a:pPr>
                <a:endParaRPr lang="en-US"/>
              </a:p>
            </c:txPr>
            <c:dLblPos val="outEnd"/>
            <c:showLegendKey val="0"/>
            <c:showVal val="1"/>
            <c:showCatName val="0"/>
            <c:showSerName val="0"/>
            <c:showPercent val="0"/>
            <c:showBubbleSize val="0"/>
            <c:showLeaderLines val="1"/>
          </c:dLbls>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20.791706952577048</c:v>
                </c:pt>
                <c:pt idx="3">
                  <c:v>17.402047673270403</c:v>
                </c:pt>
                <c:pt idx="4">
                  <c:v>45.215691032418171</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0">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b="1" i="0" baseline="0"/>
              <a:t>Health over last 12 months by Age</a:t>
            </a:r>
            <a:endParaRPr lang="en-GB" sz="1000"/>
          </a:p>
        </c:rich>
      </c:tx>
      <c:layout>
        <c:manualLayout>
          <c:xMode val="edge"/>
          <c:yMode val="edge"/>
          <c:x val="1.1224694327520621E-3"/>
          <c:y val="0"/>
        </c:manualLayout>
      </c:layout>
      <c:overlay val="0"/>
    </c:title>
    <c:autoTitleDeleted val="0"/>
    <c:plotArea>
      <c:layout>
        <c:manualLayout>
          <c:layoutTarget val="inner"/>
          <c:xMode val="edge"/>
          <c:yMode val="edge"/>
          <c:x val="9.3195971648918338E-2"/>
          <c:y val="0.10643444444444455"/>
          <c:w val="0.90426815590782317"/>
          <c:h val="0.71138370370370352"/>
        </c:manualLayout>
      </c:layout>
      <c:barChart>
        <c:barDir val="col"/>
        <c:grouping val="stacked"/>
        <c:varyColors val="0"/>
        <c:ser>
          <c:idx val="0"/>
          <c:order val="0"/>
          <c:tx>
            <c:strRef>
              <c:f>'Health last 12 months'!$A$4</c:f>
              <c:strCache>
                <c:ptCount val="1"/>
                <c:pt idx="0">
                  <c:v>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'Health last 12 months'!$Q$3:$W$3</c:f>
              <c:strCache>
                <c:ptCount val="7"/>
                <c:pt idx="0">
                  <c:v>18-24</c:v>
                </c:pt>
                <c:pt idx="1">
                  <c:v>25-34</c:v>
                </c:pt>
                <c:pt idx="2">
                  <c:v>35-44</c:v>
                </c:pt>
                <c:pt idx="3">
                  <c:v>45-54</c:v>
                </c:pt>
                <c:pt idx="4">
                  <c:v>55-64</c:v>
                </c:pt>
                <c:pt idx="5">
                  <c:v>65-74</c:v>
                </c:pt>
                <c:pt idx="6">
                  <c:v>75+</c:v>
                </c:pt>
              </c:strCache>
            </c:strRef>
          </c:cat>
          <c:val>
            <c:numRef>
              <c:f>'Health last 12 months'!$Q$4:$W$4</c:f>
              <c:numCache>
                <c:formatCode>0</c:formatCode>
                <c:ptCount val="7"/>
                <c:pt idx="0">
                  <c:v>80.641565425256985</c:v>
                </c:pt>
                <c:pt idx="1">
                  <c:v>74.696485917941018</c:v>
                </c:pt>
                <c:pt idx="2">
                  <c:v>66.303276949547566</c:v>
                </c:pt>
                <c:pt idx="3">
                  <c:v>58.296143229721999</c:v>
                </c:pt>
                <c:pt idx="4">
                  <c:v>49.135494071224706</c:v>
                </c:pt>
                <c:pt idx="5">
                  <c:v>43.013820044618946</c:v>
                </c:pt>
                <c:pt idx="6">
                  <c:v>30.982224157696926</c:v>
                </c:pt>
              </c:numCache>
            </c:numRef>
          </c:val>
        </c:ser>
        <c:ser>
          <c:idx val="1"/>
          <c:order val="1"/>
          <c:tx>
            <c:strRef>
              <c:f>'Health last 12 months'!$A$5</c:f>
              <c:strCache>
                <c:ptCount val="1"/>
                <c:pt idx="0">
                  <c:v>Fairly Good</c:v>
                </c:pt>
              </c:strCache>
            </c:strRef>
          </c:tx>
          <c:spPr>
            <a:solidFill>
              <a:srgbClr val="4F81BD">
                <a:lumMod val="60000"/>
                <a:lumOff val="40000"/>
              </a:srgbClr>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'Health last 12 months'!$Q$3:$W$3</c:f>
              <c:strCache>
                <c:ptCount val="7"/>
                <c:pt idx="0">
                  <c:v>18-24</c:v>
                </c:pt>
                <c:pt idx="1">
                  <c:v>25-34</c:v>
                </c:pt>
                <c:pt idx="2">
                  <c:v>35-44</c:v>
                </c:pt>
                <c:pt idx="3">
                  <c:v>45-54</c:v>
                </c:pt>
                <c:pt idx="4">
                  <c:v>55-64</c:v>
                </c:pt>
                <c:pt idx="5">
                  <c:v>65-74</c:v>
                </c:pt>
                <c:pt idx="6">
                  <c:v>75+</c:v>
                </c:pt>
              </c:strCache>
            </c:strRef>
          </c:cat>
          <c:val>
            <c:numRef>
              <c:f>'Health last 12 months'!$Q$5:$W$5</c:f>
              <c:numCache>
                <c:formatCode>0</c:formatCode>
                <c:ptCount val="7"/>
                <c:pt idx="0">
                  <c:v>14.561389328714402</c:v>
                </c:pt>
                <c:pt idx="1">
                  <c:v>18.756143147959527</c:v>
                </c:pt>
                <c:pt idx="2">
                  <c:v>22.168623554971447</c:v>
                </c:pt>
                <c:pt idx="3">
                  <c:v>23.104148473369289</c:v>
                </c:pt>
                <c:pt idx="4">
                  <c:v>26.874380460251135</c:v>
                </c:pt>
                <c:pt idx="5">
                  <c:v>34.126113526830338</c:v>
                </c:pt>
                <c:pt idx="6">
                  <c:v>39.368522024680615</c:v>
                </c:pt>
              </c:numCache>
            </c:numRef>
          </c:val>
        </c:ser>
        <c:ser>
          <c:idx val="2"/>
          <c:order val="2"/>
          <c:tx>
            <c:strRef>
              <c:f>'Health last 12 months'!$A$6</c:f>
              <c:strCache>
                <c:ptCount val="1"/>
                <c:pt idx="0">
                  <c:v>Not Good</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'Health last 12 months'!$Q$3:$W$3</c:f>
              <c:strCache>
                <c:ptCount val="7"/>
                <c:pt idx="0">
                  <c:v>18-24</c:v>
                </c:pt>
                <c:pt idx="1">
                  <c:v>25-34</c:v>
                </c:pt>
                <c:pt idx="2">
                  <c:v>35-44</c:v>
                </c:pt>
                <c:pt idx="3">
                  <c:v>45-54</c:v>
                </c:pt>
                <c:pt idx="4">
                  <c:v>55-64</c:v>
                </c:pt>
                <c:pt idx="5">
                  <c:v>65-74</c:v>
                </c:pt>
                <c:pt idx="6">
                  <c:v>75+</c:v>
                </c:pt>
              </c:strCache>
            </c:strRef>
          </c:cat>
          <c:val>
            <c:numRef>
              <c:f>'Health last 12 months'!$Q$6:$W$6</c:f>
              <c:numCache>
                <c:formatCode>0</c:formatCode>
                <c:ptCount val="7"/>
                <c:pt idx="0">
                  <c:v>4.7970452460296977</c:v>
                </c:pt>
                <c:pt idx="1">
                  <c:v>6.5473709340994617</c:v>
                </c:pt>
                <c:pt idx="2">
                  <c:v>11.528099495480831</c:v>
                </c:pt>
                <c:pt idx="3">
                  <c:v>18.599708296909114</c:v>
                </c:pt>
                <c:pt idx="4">
                  <c:v>23.990125468523889</c:v>
                </c:pt>
                <c:pt idx="5">
                  <c:v>22.860066428551939</c:v>
                </c:pt>
                <c:pt idx="6">
                  <c:v>29.649253817622697</c:v>
                </c:pt>
              </c:numCache>
            </c:numRef>
          </c:val>
        </c:ser>
        <c:dLbls>
          <c:showLegendKey val="0"/>
          <c:showVal val="1"/>
          <c:showCatName val="0"/>
          <c:showSerName val="0"/>
          <c:showPercent val="0"/>
          <c:showBubbleSize val="0"/>
        </c:dLbls>
        <c:gapWidth val="70"/>
        <c:overlap val="100"/>
        <c:axId val="130455040"/>
        <c:axId val="130456576"/>
      </c:barChart>
      <c:catAx>
        <c:axId val="130455040"/>
        <c:scaling>
          <c:orientation val="minMax"/>
        </c:scaling>
        <c:delete val="0"/>
        <c:axPos val="b"/>
        <c:majorTickMark val="out"/>
        <c:minorTickMark val="none"/>
        <c:tickLblPos val="nextTo"/>
        <c:txPr>
          <a:bodyPr/>
          <a:lstStyle/>
          <a:p>
            <a:pPr>
              <a:defRPr sz="900"/>
            </a:pPr>
            <a:endParaRPr lang="en-US"/>
          </a:p>
        </c:txPr>
        <c:crossAx val="130456576"/>
        <c:crosses val="autoZero"/>
        <c:auto val="1"/>
        <c:lblAlgn val="ctr"/>
        <c:lblOffset val="100"/>
        <c:noMultiLvlLbl val="0"/>
      </c:catAx>
      <c:valAx>
        <c:axId val="130456576"/>
        <c:scaling>
          <c:orientation val="minMax"/>
          <c:max val="100"/>
        </c:scaling>
        <c:delete val="0"/>
        <c:axPos val="l"/>
        <c:title>
          <c:tx>
            <c:rich>
              <a:bodyPr rot="0" vert="horz"/>
              <a:lstStyle/>
              <a:p>
                <a:pPr>
                  <a:defRPr sz="900"/>
                </a:pPr>
                <a:r>
                  <a:rPr lang="en-GB" sz="900"/>
                  <a:t>%</a:t>
                </a:r>
              </a:p>
            </c:rich>
          </c:tx>
          <c:layout>
            <c:manualLayout>
              <c:xMode val="edge"/>
              <c:yMode val="edge"/>
              <c:x val="1.0496375177772392E-3"/>
              <c:y val="0.41894007936508015"/>
            </c:manualLayout>
          </c:layout>
          <c:overlay val="0"/>
        </c:title>
        <c:numFmt formatCode="0" sourceLinked="1"/>
        <c:majorTickMark val="out"/>
        <c:minorTickMark val="none"/>
        <c:tickLblPos val="nextTo"/>
        <c:txPr>
          <a:bodyPr/>
          <a:lstStyle/>
          <a:p>
            <a:pPr>
              <a:defRPr sz="900"/>
            </a:pPr>
            <a:endParaRPr lang="en-US"/>
          </a:p>
        </c:txPr>
        <c:crossAx val="130455040"/>
        <c:crosses val="autoZero"/>
        <c:crossBetween val="between"/>
        <c:majorUnit val="20"/>
      </c:valAx>
    </c:plotArea>
    <c:legend>
      <c:legendPos val="b"/>
      <c:layout>
        <c:manualLayout>
          <c:xMode val="edge"/>
          <c:yMode val="edge"/>
          <c:x val="0"/>
          <c:y val="0.92467013888889893"/>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97677107542191"/>
          <c:y val="9.8920000000000161E-2"/>
          <c:w val="0.67798397447015246"/>
          <c:h val="0.81440000000000001"/>
        </c:manualLayout>
      </c:layout>
      <c:pieChart>
        <c:varyColors val="1"/>
        <c:ser>
          <c:idx val="0"/>
          <c:order val="0"/>
          <c:tx>
            <c:strRef>
              <c:f>Sheet4!$D$47</c:f>
              <c:strCache>
                <c:ptCount val="1"/>
                <c:pt idx="0">
                  <c:v>Inactive time per Weekend day</c:v>
                </c:pt>
              </c:strCache>
            </c:strRef>
          </c:tx>
          <c:dPt>
            <c:idx val="0"/>
            <c:bubble3D val="0"/>
            <c:spPr>
              <a:solidFill>
                <a:srgbClr val="669900"/>
              </a:solidFill>
            </c:spPr>
          </c:dPt>
          <c:dPt>
            <c:idx val="1"/>
            <c:bubble3D val="0"/>
            <c:spPr>
              <a:solidFill>
                <a:srgbClr val="333300"/>
              </a:solidFill>
            </c:spPr>
          </c:dPt>
          <c:dPt>
            <c:idx val="2"/>
            <c:bubble3D val="0"/>
            <c:spPr>
              <a:solidFill>
                <a:srgbClr val="99FF66"/>
              </a:solidFill>
            </c:spPr>
          </c:dPt>
          <c:dPt>
            <c:idx val="3"/>
            <c:bubble3D val="0"/>
            <c:spPr>
              <a:solidFill>
                <a:srgbClr val="006600"/>
              </a:solidFill>
            </c:spPr>
          </c:dPt>
          <c:dPt>
            <c:idx val="4"/>
            <c:bubble3D val="0"/>
            <c:spPr>
              <a:solidFill>
                <a:srgbClr val="CCFFCC"/>
              </a:solidFill>
            </c:spPr>
          </c:dPt>
          <c:dLbls>
            <c:txPr>
              <a:bodyPr/>
              <a:lstStyle/>
              <a:p>
                <a:pPr>
                  <a:defRPr sz="900"/>
                </a:pPr>
                <a:endParaRPr lang="en-US"/>
              </a:p>
            </c:txPr>
            <c:dLblPos val="outEnd"/>
            <c:showLegendKey val="0"/>
            <c:showVal val="1"/>
            <c:showCatName val="0"/>
            <c:showSerName val="0"/>
            <c:showPercent val="0"/>
            <c:showBubbleSize val="0"/>
            <c:showLeaderLines val="1"/>
          </c:dLbls>
          <c:cat>
            <c:strRef>
              <c:f>Sheet4!$B$48:$B$52</c:f>
              <c:strCache>
                <c:ptCount val="5"/>
                <c:pt idx="0">
                  <c:v>Less than 1 hour </c:v>
                </c:pt>
                <c:pt idx="1">
                  <c:v>1-2 hours</c:v>
                </c:pt>
                <c:pt idx="2">
                  <c:v>2-3 hours</c:v>
                </c:pt>
                <c:pt idx="3">
                  <c:v>3-4 hours</c:v>
                </c:pt>
                <c:pt idx="4">
                  <c:v>Over 4 hours</c:v>
                </c:pt>
              </c:strCache>
            </c:strRef>
          </c:cat>
          <c:val>
            <c:numRef>
              <c:f>Sheet4!$D$48:$D$52</c:f>
              <c:numCache>
                <c:formatCode>0</c:formatCode>
                <c:ptCount val="5"/>
                <c:pt idx="0">
                  <c:v>2.9727634352826988</c:v>
                </c:pt>
                <c:pt idx="1">
                  <c:v>9.0425892835362536</c:v>
                </c:pt>
                <c:pt idx="2">
                  <c:v>15.032695418048691</c:v>
                </c:pt>
                <c:pt idx="3">
                  <c:v>18.398065492139256</c:v>
                </c:pt>
                <c:pt idx="4">
                  <c:v>54.553886370992913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0">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0415573053371"/>
          <c:y val="5.0925925925925923E-2"/>
          <c:w val="1.0880796150481192E-2"/>
          <c:h val="1.8134660250801987E-2"/>
        </c:manualLayout>
      </c:layout>
      <c:pieChart>
        <c:varyColors val="1"/>
        <c:ser>
          <c:idx val="2"/>
          <c:order val="2"/>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3"/>
          <c:order val="3"/>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4"/>
          <c:order val="4"/>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5"/>
          <c:order val="5"/>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1"/>
          <c:order val="1"/>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ser>
          <c:idx val="0"/>
          <c:order val="0"/>
          <c:tx>
            <c:strRef>
              <c:f>Sheet4!$C$47</c:f>
              <c:strCache>
                <c:ptCount val="1"/>
                <c:pt idx="0">
                  <c:v>Inactive time per Weekday</c:v>
                </c:pt>
              </c:strCache>
            </c:strRef>
          </c:tx>
          <c:dPt>
            <c:idx val="0"/>
            <c:bubble3D val="0"/>
            <c:spPr>
              <a:solidFill>
                <a:srgbClr val="009900"/>
              </a:solidFill>
            </c:spPr>
          </c:dPt>
          <c:dPt>
            <c:idx val="1"/>
            <c:bubble3D val="0"/>
            <c:spPr>
              <a:solidFill>
                <a:srgbClr val="333300"/>
              </a:solidFill>
            </c:spPr>
          </c:dPt>
          <c:dPt>
            <c:idx val="2"/>
            <c:bubble3D val="0"/>
            <c:spPr>
              <a:solidFill>
                <a:srgbClr val="99FF33"/>
              </a:solidFill>
            </c:spPr>
          </c:dPt>
          <c:dPt>
            <c:idx val="3"/>
            <c:bubble3D val="0"/>
            <c:spPr>
              <a:solidFill>
                <a:srgbClr val="006600"/>
              </a:solidFill>
            </c:spPr>
          </c:dPt>
          <c:dPt>
            <c:idx val="4"/>
            <c:bubble3D val="0"/>
            <c:spPr>
              <a:solidFill>
                <a:srgbClr val="CCFFCC"/>
              </a:solidFill>
            </c:spPr>
          </c:dPt>
          <c:cat>
            <c:strRef>
              <c:f>Sheet4!$B$48:$B$52</c:f>
              <c:strCache>
                <c:ptCount val="5"/>
                <c:pt idx="0">
                  <c:v>Less than 1 hour </c:v>
                </c:pt>
                <c:pt idx="1">
                  <c:v>1-2 hours</c:v>
                </c:pt>
                <c:pt idx="2">
                  <c:v>2-3 hours</c:v>
                </c:pt>
                <c:pt idx="3">
                  <c:v>3-4 hours</c:v>
                </c:pt>
                <c:pt idx="4">
                  <c:v>Over 4 hours</c:v>
                </c:pt>
              </c:strCache>
            </c:strRef>
          </c:cat>
          <c:val>
            <c:numRef>
              <c:f>Sheet4!$C$48:$C$52</c:f>
              <c:numCache>
                <c:formatCode>0</c:formatCode>
                <c:ptCount val="5"/>
                <c:pt idx="0">
                  <c:v>3.5291784804574244</c:v>
                </c:pt>
                <c:pt idx="1">
                  <c:v>13.061375861276648</c:v>
                </c:pt>
                <c:pt idx="2">
                  <c:v>20.791706952577087</c:v>
                </c:pt>
                <c:pt idx="3">
                  <c:v>17.402047673270449</c:v>
                </c:pt>
                <c:pt idx="4">
                  <c:v>45.215691032418171</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2129629629652E-2"/>
          <c:y val="4.6552552552552466E-2"/>
          <c:w val="0.90157870370370352"/>
          <c:h val="0.61641360867627393"/>
        </c:manualLayout>
      </c:layout>
      <c:barChart>
        <c:barDir val="col"/>
        <c:grouping val="clustered"/>
        <c:varyColors val="0"/>
        <c:ser>
          <c:idx val="0"/>
          <c:order val="0"/>
          <c:tx>
            <c:strRef>
              <c:f>Sheet4!$C$69</c:f>
              <c:strCache>
                <c:ptCount val="1"/>
                <c:pt idx="0">
                  <c:v>Over four hours of Inactive time per Weekday</c:v>
                </c:pt>
              </c:strCache>
            </c:strRef>
          </c:tx>
          <c:spPr>
            <a:solidFill>
              <a:srgbClr val="0099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Sheet4!$B$70:$B$72</c:f>
              <c:strCache>
                <c:ptCount val="3"/>
                <c:pt idx="0">
                  <c:v>Normal weight / Underweight</c:v>
                </c:pt>
                <c:pt idx="1">
                  <c:v>Overweight</c:v>
                </c:pt>
                <c:pt idx="2">
                  <c:v>Obese</c:v>
                </c:pt>
              </c:strCache>
            </c:strRef>
          </c:cat>
          <c:val>
            <c:numRef>
              <c:f>Sheet4!$C$70:$C$72</c:f>
              <c:numCache>
                <c:formatCode>0</c:formatCode>
                <c:ptCount val="3"/>
                <c:pt idx="0">
                  <c:v>37.490925155439719</c:v>
                </c:pt>
                <c:pt idx="1">
                  <c:v>44.595918458972243</c:v>
                </c:pt>
                <c:pt idx="2">
                  <c:v>49.196579943644963</c:v>
                </c:pt>
              </c:numCache>
            </c:numRef>
          </c:val>
        </c:ser>
        <c:ser>
          <c:idx val="1"/>
          <c:order val="1"/>
          <c:tx>
            <c:strRef>
              <c:f>Sheet4!$D$69</c:f>
              <c:strCache>
                <c:ptCount val="1"/>
                <c:pt idx="0">
                  <c:v>Over four hours of Inactive time per Weekend day</c:v>
                </c:pt>
              </c:strCache>
            </c:strRef>
          </c:tx>
          <c:spPr>
            <a:solidFill>
              <a:srgbClr val="CCFFCC"/>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Sheet4!$B$70:$B$72</c:f>
              <c:strCache>
                <c:ptCount val="3"/>
                <c:pt idx="0">
                  <c:v>Normal weight / Underweight</c:v>
                </c:pt>
                <c:pt idx="1">
                  <c:v>Overweight</c:v>
                </c:pt>
                <c:pt idx="2">
                  <c:v>Obese</c:v>
                </c:pt>
              </c:strCache>
            </c:strRef>
          </c:cat>
          <c:val>
            <c:numRef>
              <c:f>Sheet4!$D$70:$D$72</c:f>
              <c:numCache>
                <c:formatCode>0</c:formatCode>
                <c:ptCount val="3"/>
                <c:pt idx="0">
                  <c:v>47.856652830148334</c:v>
                </c:pt>
                <c:pt idx="1">
                  <c:v>53.934161454161327</c:v>
                </c:pt>
                <c:pt idx="2">
                  <c:v>60.836978534649404</c:v>
                </c:pt>
              </c:numCache>
            </c:numRef>
          </c:val>
        </c:ser>
        <c:dLbls>
          <c:showLegendKey val="0"/>
          <c:showVal val="1"/>
          <c:showCatName val="0"/>
          <c:showSerName val="0"/>
          <c:showPercent val="0"/>
          <c:showBubbleSize val="0"/>
        </c:dLbls>
        <c:gapWidth val="150"/>
        <c:axId val="173645824"/>
        <c:axId val="173647360"/>
      </c:barChart>
      <c:catAx>
        <c:axId val="173645824"/>
        <c:scaling>
          <c:orientation val="minMax"/>
        </c:scaling>
        <c:delete val="0"/>
        <c:axPos val="b"/>
        <c:majorTickMark val="out"/>
        <c:minorTickMark val="none"/>
        <c:tickLblPos val="nextTo"/>
        <c:txPr>
          <a:bodyPr/>
          <a:lstStyle/>
          <a:p>
            <a:pPr>
              <a:defRPr sz="900"/>
            </a:pPr>
            <a:endParaRPr lang="en-US"/>
          </a:p>
        </c:txPr>
        <c:crossAx val="173647360"/>
        <c:crosses val="autoZero"/>
        <c:auto val="1"/>
        <c:lblAlgn val="ctr"/>
        <c:lblOffset val="100"/>
        <c:noMultiLvlLbl val="0"/>
      </c:catAx>
      <c:valAx>
        <c:axId val="173647360"/>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3645824"/>
        <c:crosses val="autoZero"/>
        <c:crossBetween val="between"/>
        <c:majorUnit val="20"/>
      </c:valAx>
    </c:plotArea>
    <c:legend>
      <c:legendPos val="b"/>
      <c:layout>
        <c:manualLayout>
          <c:xMode val="edge"/>
          <c:yMode val="edge"/>
          <c:x val="0"/>
          <c:y val="0.822879861111113"/>
          <c:w val="0.99913037027918161"/>
          <c:h val="0.17345486111111141"/>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99495877993248E-2"/>
          <c:y val="4.7379826168752345E-2"/>
          <c:w val="0.91466463167875045"/>
          <c:h val="0.7448432539682549"/>
        </c:manualLayout>
      </c:layout>
      <c:barChart>
        <c:barDir val="col"/>
        <c:grouping val="stacked"/>
        <c:varyColors val="0"/>
        <c:ser>
          <c:idx val="0"/>
          <c:order val="0"/>
          <c:tx>
            <c:strRef>
              <c:f>Sheet3!$A$13</c:f>
              <c:strCache>
                <c:ptCount val="1"/>
                <c:pt idx="0">
                  <c:v>Limiting illness</c:v>
                </c:pt>
              </c:strCache>
            </c:strRef>
          </c:tx>
          <c:spPr>
            <a:solidFill>
              <a:srgbClr val="CC00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(Sheet3!$B$12,Sheet3!$F$12)</c:f>
              <c:strCache>
                <c:ptCount val="2"/>
                <c:pt idx="0">
                  <c:v>Most Deprived</c:v>
                </c:pt>
                <c:pt idx="1">
                  <c:v>Least Deprived</c:v>
                </c:pt>
              </c:strCache>
            </c:strRef>
          </c:cat>
          <c:val>
            <c:numRef>
              <c:f>(Sheet3!$B$13,Sheet3!$F$13)</c:f>
              <c:numCache>
                <c:formatCode>0</c:formatCode>
                <c:ptCount val="2"/>
                <c:pt idx="0">
                  <c:v>11.400587796457406</c:v>
                </c:pt>
                <c:pt idx="1">
                  <c:v>5.1855246065509286</c:v>
                </c:pt>
              </c:numCache>
            </c:numRef>
          </c:val>
        </c:ser>
        <c:ser>
          <c:idx val="1"/>
          <c:order val="1"/>
          <c:tx>
            <c:strRef>
              <c:f>Sheet3!$A$14</c:f>
              <c:strCache>
                <c:ptCount val="1"/>
                <c:pt idx="0">
                  <c:v>Non-limiting illness</c:v>
                </c:pt>
              </c:strCache>
            </c:strRef>
          </c:tx>
          <c:spPr>
            <a:solidFill>
              <a:srgbClr val="FFCCCC"/>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(Sheet3!$B$12,Sheet3!$F$12)</c:f>
              <c:strCache>
                <c:ptCount val="2"/>
                <c:pt idx="0">
                  <c:v>Most Deprived</c:v>
                </c:pt>
                <c:pt idx="1">
                  <c:v>Least Deprived</c:v>
                </c:pt>
              </c:strCache>
            </c:strRef>
          </c:cat>
          <c:val>
            <c:numRef>
              <c:f>(Sheet3!$B$14,Sheet3!$F$14)</c:f>
              <c:numCache>
                <c:formatCode>0</c:formatCode>
                <c:ptCount val="2"/>
                <c:pt idx="0">
                  <c:v>8.0816858063744803</c:v>
                </c:pt>
                <c:pt idx="1">
                  <c:v>13.692421373835169</c:v>
                </c:pt>
              </c:numCache>
            </c:numRef>
          </c:val>
        </c:ser>
        <c:dLbls>
          <c:showLegendKey val="0"/>
          <c:showVal val="1"/>
          <c:showCatName val="0"/>
          <c:showSerName val="0"/>
          <c:showPercent val="0"/>
          <c:showBubbleSize val="0"/>
        </c:dLbls>
        <c:gapWidth val="70"/>
        <c:overlap val="100"/>
        <c:axId val="174853120"/>
        <c:axId val="174867200"/>
      </c:barChart>
      <c:catAx>
        <c:axId val="174853120"/>
        <c:scaling>
          <c:orientation val="minMax"/>
        </c:scaling>
        <c:delete val="0"/>
        <c:axPos val="b"/>
        <c:majorTickMark val="out"/>
        <c:minorTickMark val="none"/>
        <c:tickLblPos val="nextTo"/>
        <c:txPr>
          <a:bodyPr/>
          <a:lstStyle/>
          <a:p>
            <a:pPr>
              <a:defRPr sz="900"/>
            </a:pPr>
            <a:endParaRPr lang="en-US"/>
          </a:p>
        </c:txPr>
        <c:crossAx val="174867200"/>
        <c:crosses val="autoZero"/>
        <c:auto val="1"/>
        <c:lblAlgn val="ctr"/>
        <c:lblOffset val="100"/>
        <c:noMultiLvlLbl val="0"/>
      </c:catAx>
      <c:valAx>
        <c:axId val="174867200"/>
        <c:scaling>
          <c:orientation val="minMax"/>
          <c:max val="2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4853120"/>
        <c:crosses val="autoZero"/>
        <c:crossBetween val="between"/>
        <c:majorUnit val="5"/>
      </c:valAx>
    </c:plotArea>
    <c:legend>
      <c:legendPos val="b"/>
      <c:layout>
        <c:manualLayout>
          <c:xMode val="edge"/>
          <c:yMode val="edge"/>
          <c:x val="0"/>
          <c:y val="0.91940119047619062"/>
          <c:w val="0.9946940002543746"/>
          <c:h val="8.059880952380975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IOTF Category</a:t>
            </a:r>
            <a:r>
              <a:rPr lang="en-GB" baseline="0"/>
              <a:t> by Gender - Age 2-10</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2974515921358887"/>
          <c:w val="0.89974542418518155"/>
          <c:h val="0.66826682513742386"/>
        </c:manualLayout>
      </c:layout>
      <c:barChart>
        <c:barDir val="col"/>
        <c:grouping val="stacked"/>
        <c:varyColors val="0"/>
        <c:ser>
          <c:idx val="0"/>
          <c:order val="0"/>
          <c:tx>
            <c:strRef>
              <c:f>Sheet3!$A$4</c:f>
              <c:strCache>
                <c:ptCount val="1"/>
                <c:pt idx="0">
                  <c:v>Underweight</c:v>
                </c:pt>
              </c:strCache>
            </c:strRef>
          </c:tx>
          <c:spPr>
            <a:solidFill>
              <a:srgbClr val="8000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Sheet3!$C$3:$D$3</c:f>
              <c:strCache>
                <c:ptCount val="2"/>
                <c:pt idx="0">
                  <c:v>Boys</c:v>
                </c:pt>
                <c:pt idx="1">
                  <c:v>Girls</c:v>
                </c:pt>
              </c:strCache>
            </c:strRef>
          </c:cat>
          <c:val>
            <c:numRef>
              <c:f>Sheet3!$C$4:$D$4</c:f>
              <c:numCache>
                <c:formatCode>0</c:formatCode>
                <c:ptCount val="2"/>
                <c:pt idx="0">
                  <c:v>4.1988205038101452</c:v>
                </c:pt>
                <c:pt idx="1">
                  <c:v>5.3140735633323688</c:v>
                </c:pt>
              </c:numCache>
            </c:numRef>
          </c:val>
        </c:ser>
        <c:ser>
          <c:idx val="1"/>
          <c:order val="1"/>
          <c:tx>
            <c:strRef>
              <c:f>Sheet3!$A$5</c:f>
              <c:strCache>
                <c:ptCount val="1"/>
                <c:pt idx="0">
                  <c:v>Normal weight</c:v>
                </c:pt>
              </c:strCache>
            </c:strRef>
          </c:tx>
          <c:spPr>
            <a:solidFill>
              <a:srgbClr val="CC00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Sheet3!$C$3:$D$3</c:f>
              <c:strCache>
                <c:ptCount val="2"/>
                <c:pt idx="0">
                  <c:v>Boys</c:v>
                </c:pt>
                <c:pt idx="1">
                  <c:v>Girls</c:v>
                </c:pt>
              </c:strCache>
            </c:strRef>
          </c:cat>
          <c:val>
            <c:numRef>
              <c:f>Sheet3!$C$5:$D$5</c:f>
              <c:numCache>
                <c:formatCode>0</c:formatCode>
                <c:ptCount val="2"/>
                <c:pt idx="0">
                  <c:v>73.396986095764518</c:v>
                </c:pt>
                <c:pt idx="1">
                  <c:v>66.936456816136214</c:v>
                </c:pt>
              </c:numCache>
            </c:numRef>
          </c:val>
        </c:ser>
        <c:ser>
          <c:idx val="2"/>
          <c:order val="2"/>
          <c:tx>
            <c:strRef>
              <c:f>Sheet3!$A$6</c:f>
              <c:strCache>
                <c:ptCount val="1"/>
                <c:pt idx="0">
                  <c:v>Overweight</c:v>
                </c:pt>
              </c:strCache>
            </c:strRef>
          </c:tx>
          <c:spPr>
            <a:solidFill>
              <a:srgbClr val="FF5050"/>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Sheet3!$C$3:$D$3</c:f>
              <c:strCache>
                <c:ptCount val="2"/>
                <c:pt idx="0">
                  <c:v>Boys</c:v>
                </c:pt>
                <c:pt idx="1">
                  <c:v>Girls</c:v>
                </c:pt>
              </c:strCache>
            </c:strRef>
          </c:cat>
          <c:val>
            <c:numRef>
              <c:f>Sheet3!$C$6:$D$6</c:f>
              <c:numCache>
                <c:formatCode>0</c:formatCode>
                <c:ptCount val="2"/>
                <c:pt idx="0">
                  <c:v>16.297826252675527</c:v>
                </c:pt>
                <c:pt idx="1">
                  <c:v>22.436003117706115</c:v>
                </c:pt>
              </c:numCache>
            </c:numRef>
          </c:val>
        </c:ser>
        <c:ser>
          <c:idx val="3"/>
          <c:order val="3"/>
          <c:tx>
            <c:strRef>
              <c:f>Sheet3!$A$7</c:f>
              <c:strCache>
                <c:ptCount val="1"/>
                <c:pt idx="0">
                  <c:v>Obese</c:v>
                </c:pt>
              </c:strCache>
            </c:strRef>
          </c:tx>
          <c:spPr>
            <a:solidFill>
              <a:srgbClr val="FFCCCC"/>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Sheet3!$C$3:$D$3</c:f>
              <c:strCache>
                <c:ptCount val="2"/>
                <c:pt idx="0">
                  <c:v>Boys</c:v>
                </c:pt>
                <c:pt idx="1">
                  <c:v>Girls</c:v>
                </c:pt>
              </c:strCache>
            </c:strRef>
          </c:cat>
          <c:val>
            <c:numRef>
              <c:f>Sheet3!$C$7:$D$7</c:f>
              <c:numCache>
                <c:formatCode>0</c:formatCode>
                <c:ptCount val="2"/>
                <c:pt idx="0">
                  <c:v>6.1063671477497792</c:v>
                </c:pt>
                <c:pt idx="1">
                  <c:v>5.3134665028250625</c:v>
                </c:pt>
              </c:numCache>
            </c:numRef>
          </c:val>
        </c:ser>
        <c:dLbls>
          <c:showLegendKey val="0"/>
          <c:showVal val="1"/>
          <c:showCatName val="0"/>
          <c:showSerName val="0"/>
          <c:showPercent val="0"/>
          <c:showBubbleSize val="0"/>
        </c:dLbls>
        <c:gapWidth val="70"/>
        <c:overlap val="100"/>
        <c:axId val="174932736"/>
        <c:axId val="174934272"/>
      </c:barChart>
      <c:catAx>
        <c:axId val="174932736"/>
        <c:scaling>
          <c:orientation val="minMax"/>
        </c:scaling>
        <c:delete val="0"/>
        <c:axPos val="b"/>
        <c:majorTickMark val="out"/>
        <c:minorTickMark val="none"/>
        <c:tickLblPos val="nextTo"/>
        <c:txPr>
          <a:bodyPr/>
          <a:lstStyle/>
          <a:p>
            <a:pPr>
              <a:defRPr sz="900"/>
            </a:pPr>
            <a:endParaRPr lang="en-US"/>
          </a:p>
        </c:txPr>
        <c:crossAx val="174934272"/>
        <c:crosses val="autoZero"/>
        <c:auto val="1"/>
        <c:lblAlgn val="ctr"/>
        <c:lblOffset val="100"/>
        <c:noMultiLvlLbl val="0"/>
      </c:catAx>
      <c:valAx>
        <c:axId val="174934272"/>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4932736"/>
        <c:crosses val="autoZero"/>
        <c:crossBetween val="between"/>
        <c:majorUnit val="20"/>
      </c:valAx>
    </c:plotArea>
    <c:legend>
      <c:legendPos val="b"/>
      <c:layout>
        <c:manualLayout>
          <c:xMode val="edge"/>
          <c:yMode val="edge"/>
          <c:x val="0"/>
          <c:y val="0.89107208994708853"/>
          <c:w val="0.9978778509571451"/>
          <c:h val="0.10411706349206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000"/>
              <a:t>Females only - Opinion on Breastfeeding Protecting from Disease</a:t>
            </a:r>
          </a:p>
        </c:rich>
      </c:tx>
      <c:layout>
        <c:manualLayout>
          <c:xMode val="edge"/>
          <c:yMode val="edge"/>
          <c:x val="2.4134790528230187E-5"/>
          <c:y val="0"/>
        </c:manualLayout>
      </c:layout>
      <c:overlay val="0"/>
    </c:title>
    <c:autoTitleDeleted val="0"/>
    <c:plotArea>
      <c:layout>
        <c:manualLayout>
          <c:layoutTarget val="inner"/>
          <c:xMode val="edge"/>
          <c:yMode val="edge"/>
          <c:x val="8.291530054644819E-2"/>
          <c:y val="0.11156816718664886"/>
          <c:w val="0.91301297814207649"/>
          <c:h val="0.5321479720695298"/>
        </c:manualLayout>
      </c:layout>
      <c:barChart>
        <c:barDir val="col"/>
        <c:grouping val="stacked"/>
        <c:varyColors val="0"/>
        <c:ser>
          <c:idx val="0"/>
          <c:order val="0"/>
          <c:tx>
            <c:strRef>
              <c:f>Sheet2!$A$92</c:f>
              <c:strCache>
                <c:ptCount val="1"/>
                <c:pt idx="0">
                  <c:v>Agree</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Sheet2!$B$91:$E$91</c:f>
              <c:strCache>
                <c:ptCount val="4"/>
                <c:pt idx="0">
                  <c:v>Breastfed babies get fewer ear, chest and kidney infections</c:v>
                </c:pt>
                <c:pt idx="1">
                  <c:v>Breastfeeding helps protect children from severe asthma and eczema</c:v>
                </c:pt>
                <c:pt idx="2">
                  <c:v>Breastfeeding helps protect children from diabetes</c:v>
                </c:pt>
                <c:pt idx="3">
                  <c:v>Breastfeeding reduces the risk of breast cancer in women</c:v>
                </c:pt>
              </c:strCache>
            </c:strRef>
          </c:cat>
          <c:val>
            <c:numRef>
              <c:f>Sheet2!$B$92:$E$92</c:f>
              <c:numCache>
                <c:formatCode>0</c:formatCode>
                <c:ptCount val="4"/>
                <c:pt idx="0">
                  <c:v>54.387237527553985</c:v>
                </c:pt>
                <c:pt idx="1">
                  <c:v>42.641385953821697</c:v>
                </c:pt>
                <c:pt idx="2">
                  <c:v>35.078514271902677</c:v>
                </c:pt>
                <c:pt idx="3">
                  <c:v>34.59241140908</c:v>
                </c:pt>
              </c:numCache>
            </c:numRef>
          </c:val>
        </c:ser>
        <c:ser>
          <c:idx val="1"/>
          <c:order val="1"/>
          <c:tx>
            <c:strRef>
              <c:f>Sheet2!$A$93</c:f>
              <c:strCache>
                <c:ptCount val="1"/>
                <c:pt idx="0">
                  <c:v>Disagree </c:v>
                </c:pt>
              </c:strCache>
            </c:strRef>
          </c:tx>
          <c:spPr>
            <a:solidFill>
              <a:srgbClr val="99CC00"/>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Sheet2!$B$91:$E$91</c:f>
              <c:strCache>
                <c:ptCount val="4"/>
                <c:pt idx="0">
                  <c:v>Breastfed babies get fewer ear, chest and kidney infections</c:v>
                </c:pt>
                <c:pt idx="1">
                  <c:v>Breastfeeding helps protect children from severe asthma and eczema</c:v>
                </c:pt>
                <c:pt idx="2">
                  <c:v>Breastfeeding helps protect children from diabetes</c:v>
                </c:pt>
                <c:pt idx="3">
                  <c:v>Breastfeeding reduces the risk of breast cancer in women</c:v>
                </c:pt>
              </c:strCache>
            </c:strRef>
          </c:cat>
          <c:val>
            <c:numRef>
              <c:f>Sheet2!$B$93:$E$93</c:f>
              <c:numCache>
                <c:formatCode>0</c:formatCode>
                <c:ptCount val="4"/>
                <c:pt idx="0">
                  <c:v>16.394847715399091</c:v>
                </c:pt>
                <c:pt idx="1">
                  <c:v>20.12645107741033</c:v>
                </c:pt>
                <c:pt idx="2">
                  <c:v>16.872201678975255</c:v>
                </c:pt>
                <c:pt idx="3">
                  <c:v>18.998471871057529</c:v>
                </c:pt>
              </c:numCache>
            </c:numRef>
          </c:val>
        </c:ser>
        <c:ser>
          <c:idx val="2"/>
          <c:order val="2"/>
          <c:tx>
            <c:strRef>
              <c:f>Sheet2!$A$94</c:f>
              <c:strCache>
                <c:ptCount val="1"/>
                <c:pt idx="0">
                  <c:v>Don't know</c:v>
                </c:pt>
              </c:strCache>
            </c:strRef>
          </c:tx>
          <c:spPr>
            <a:solidFill>
              <a:srgbClr val="DBD600"/>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Sheet2!$B$91:$E$91</c:f>
              <c:strCache>
                <c:ptCount val="4"/>
                <c:pt idx="0">
                  <c:v>Breastfed babies get fewer ear, chest and kidney infections</c:v>
                </c:pt>
                <c:pt idx="1">
                  <c:v>Breastfeeding helps protect children from severe asthma and eczema</c:v>
                </c:pt>
                <c:pt idx="2">
                  <c:v>Breastfeeding helps protect children from diabetes</c:v>
                </c:pt>
                <c:pt idx="3">
                  <c:v>Breastfeeding reduces the risk of breast cancer in women</c:v>
                </c:pt>
              </c:strCache>
            </c:strRef>
          </c:cat>
          <c:val>
            <c:numRef>
              <c:f>Sheet2!$B$94:$E$94</c:f>
              <c:numCache>
                <c:formatCode>0</c:formatCode>
                <c:ptCount val="4"/>
                <c:pt idx="0">
                  <c:v>29.217914757046728</c:v>
                </c:pt>
                <c:pt idx="1">
                  <c:v>37.232162968768158</c:v>
                </c:pt>
                <c:pt idx="2">
                  <c:v>48.049284049121823</c:v>
                </c:pt>
                <c:pt idx="3">
                  <c:v>46.409116719862574</c:v>
                </c:pt>
              </c:numCache>
            </c:numRef>
          </c:val>
        </c:ser>
        <c:dLbls>
          <c:showLegendKey val="0"/>
          <c:showVal val="1"/>
          <c:showCatName val="0"/>
          <c:showSerName val="0"/>
          <c:showPercent val="0"/>
          <c:showBubbleSize val="0"/>
        </c:dLbls>
        <c:gapWidth val="70"/>
        <c:overlap val="100"/>
        <c:axId val="174979328"/>
        <c:axId val="174989312"/>
      </c:barChart>
      <c:catAx>
        <c:axId val="174979328"/>
        <c:scaling>
          <c:orientation val="minMax"/>
        </c:scaling>
        <c:delete val="0"/>
        <c:axPos val="b"/>
        <c:majorTickMark val="out"/>
        <c:minorTickMark val="none"/>
        <c:tickLblPos val="nextTo"/>
        <c:txPr>
          <a:bodyPr/>
          <a:lstStyle/>
          <a:p>
            <a:pPr>
              <a:defRPr sz="900"/>
            </a:pPr>
            <a:endParaRPr lang="en-US"/>
          </a:p>
        </c:txPr>
        <c:crossAx val="174989312"/>
        <c:crosses val="autoZero"/>
        <c:auto val="1"/>
        <c:lblAlgn val="ctr"/>
        <c:lblOffset val="100"/>
        <c:noMultiLvlLbl val="0"/>
      </c:catAx>
      <c:valAx>
        <c:axId val="174989312"/>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4979328"/>
        <c:crosses val="autoZero"/>
        <c:crossBetween val="between"/>
        <c:majorUnit val="20"/>
      </c:valAx>
    </c:plotArea>
    <c:legend>
      <c:legendPos val="b"/>
      <c:layout>
        <c:manualLayout>
          <c:xMode val="edge"/>
          <c:yMode val="edge"/>
          <c:x val="0"/>
          <c:y val="0.92467013888889549"/>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Females</a:t>
            </a:r>
            <a:r>
              <a:rPr lang="en-GB" sz="1000" baseline="0"/>
              <a:t> only - Opinion in Risks Associated with Bottlefeeding</a:t>
            </a:r>
            <a:endParaRPr lang="en-GB" sz="1000"/>
          </a:p>
        </c:rich>
      </c:tx>
      <c:layout>
        <c:manualLayout>
          <c:xMode val="edge"/>
          <c:yMode val="edge"/>
          <c:x val="6.6812353301652083E-3"/>
          <c:y val="0"/>
        </c:manualLayout>
      </c:layout>
      <c:overlay val="0"/>
    </c:title>
    <c:autoTitleDeleted val="0"/>
    <c:plotArea>
      <c:layout>
        <c:manualLayout>
          <c:layoutTarget val="inner"/>
          <c:xMode val="edge"/>
          <c:yMode val="edge"/>
          <c:x val="8.1440801457194914E-2"/>
          <c:y val="0.11507301587301592"/>
          <c:w val="0.903576502732239"/>
          <c:h val="0.58841776853364913"/>
        </c:manualLayout>
      </c:layout>
      <c:barChart>
        <c:barDir val="col"/>
        <c:grouping val="stacked"/>
        <c:varyColors val="0"/>
        <c:ser>
          <c:idx val="0"/>
          <c:order val="0"/>
          <c:tx>
            <c:strRef>
              <c:f>Sheet2!$A$97</c:f>
              <c:strCache>
                <c:ptCount val="1"/>
                <c:pt idx="0">
                  <c:v>Agree</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Sheet2!$B$96:$C$96</c:f>
              <c:strCache>
                <c:ptCount val="2"/>
                <c:pt idx="0">
                  <c:v>Bottle-fed babies are more likely to be admitted to hospital with diarrhoea and vomiting</c:v>
                </c:pt>
                <c:pt idx="1">
                  <c:v>Bottle-fed babies are at increased risk of sudden infant death (cot-death)</c:v>
                </c:pt>
              </c:strCache>
            </c:strRef>
          </c:cat>
          <c:val>
            <c:numRef>
              <c:f>Sheet2!$B$97:$C$97</c:f>
              <c:numCache>
                <c:formatCode>0</c:formatCode>
                <c:ptCount val="2"/>
                <c:pt idx="0">
                  <c:v>24.314044282636068</c:v>
                </c:pt>
                <c:pt idx="1">
                  <c:v>14.548394899120375</c:v>
                </c:pt>
              </c:numCache>
            </c:numRef>
          </c:val>
        </c:ser>
        <c:ser>
          <c:idx val="1"/>
          <c:order val="1"/>
          <c:tx>
            <c:strRef>
              <c:f>Sheet2!$A$98</c:f>
              <c:strCache>
                <c:ptCount val="1"/>
                <c:pt idx="0">
                  <c:v>Disagree </c:v>
                </c:pt>
              </c:strCache>
            </c:strRef>
          </c:tx>
          <c:spPr>
            <a:solidFill>
              <a:srgbClr val="99CC00"/>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Sheet2!$B$96:$C$96</c:f>
              <c:strCache>
                <c:ptCount val="2"/>
                <c:pt idx="0">
                  <c:v>Bottle-fed babies are more likely to be admitted to hospital with diarrhoea and vomiting</c:v>
                </c:pt>
                <c:pt idx="1">
                  <c:v>Bottle-fed babies are at increased risk of sudden infant death (cot-death)</c:v>
                </c:pt>
              </c:strCache>
            </c:strRef>
          </c:cat>
          <c:val>
            <c:numRef>
              <c:f>Sheet2!$B$98:$C$98</c:f>
              <c:numCache>
                <c:formatCode>0</c:formatCode>
                <c:ptCount val="2"/>
                <c:pt idx="0">
                  <c:v>41.986907886932421</c:v>
                </c:pt>
                <c:pt idx="1">
                  <c:v>41.815826528251144</c:v>
                </c:pt>
              </c:numCache>
            </c:numRef>
          </c:val>
        </c:ser>
        <c:ser>
          <c:idx val="2"/>
          <c:order val="2"/>
          <c:tx>
            <c:strRef>
              <c:f>Sheet2!$A$99</c:f>
              <c:strCache>
                <c:ptCount val="1"/>
                <c:pt idx="0">
                  <c:v>Don't know</c:v>
                </c:pt>
              </c:strCache>
            </c:strRef>
          </c:tx>
          <c:spPr>
            <a:solidFill>
              <a:srgbClr val="DBD600"/>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Sheet2!$B$96:$C$96</c:f>
              <c:strCache>
                <c:ptCount val="2"/>
                <c:pt idx="0">
                  <c:v>Bottle-fed babies are more likely to be admitted to hospital with diarrhoea and vomiting</c:v>
                </c:pt>
                <c:pt idx="1">
                  <c:v>Bottle-fed babies are at increased risk of sudden infant death (cot-death)</c:v>
                </c:pt>
              </c:strCache>
            </c:strRef>
          </c:cat>
          <c:val>
            <c:numRef>
              <c:f>Sheet2!$B$99:$C$99</c:f>
              <c:numCache>
                <c:formatCode>0</c:formatCode>
                <c:ptCount val="2"/>
                <c:pt idx="0">
                  <c:v>33.699047830431113</c:v>
                </c:pt>
                <c:pt idx="1">
                  <c:v>43.635778572628233</c:v>
                </c:pt>
              </c:numCache>
            </c:numRef>
          </c:val>
        </c:ser>
        <c:dLbls>
          <c:showLegendKey val="0"/>
          <c:showVal val="1"/>
          <c:showCatName val="0"/>
          <c:showSerName val="0"/>
          <c:showPercent val="0"/>
          <c:showBubbleSize val="0"/>
        </c:dLbls>
        <c:gapWidth val="70"/>
        <c:overlap val="100"/>
        <c:axId val="175037440"/>
        <c:axId val="175047424"/>
      </c:barChart>
      <c:catAx>
        <c:axId val="175037440"/>
        <c:scaling>
          <c:orientation val="minMax"/>
        </c:scaling>
        <c:delete val="0"/>
        <c:axPos val="b"/>
        <c:majorTickMark val="out"/>
        <c:minorTickMark val="none"/>
        <c:tickLblPos val="nextTo"/>
        <c:txPr>
          <a:bodyPr/>
          <a:lstStyle/>
          <a:p>
            <a:pPr>
              <a:defRPr sz="900"/>
            </a:pPr>
            <a:endParaRPr lang="en-US"/>
          </a:p>
        </c:txPr>
        <c:crossAx val="175047424"/>
        <c:crosses val="autoZero"/>
        <c:auto val="1"/>
        <c:lblAlgn val="ctr"/>
        <c:lblOffset val="100"/>
        <c:noMultiLvlLbl val="0"/>
      </c:catAx>
      <c:valAx>
        <c:axId val="175047424"/>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5037440"/>
        <c:crosses val="autoZero"/>
        <c:crossBetween val="between"/>
        <c:majorUnit val="20"/>
      </c:valAx>
    </c:plotArea>
    <c:legend>
      <c:legendPos val="b"/>
      <c:layout>
        <c:manualLayout>
          <c:xMode val="edge"/>
          <c:yMode val="edge"/>
          <c:x val="0"/>
          <c:y val="0.92467013888889549"/>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Opinion</a:t>
            </a:r>
            <a:r>
              <a:rPr lang="en-GB" baseline="0"/>
              <a:t> on Breastfeeding</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8.8379098360655745E-2"/>
          <c:y val="0.10596712962962963"/>
          <c:w val="0.89974544626593889"/>
          <c:h val="0.62366587301587484"/>
        </c:manualLayout>
      </c:layout>
      <c:barChart>
        <c:barDir val="col"/>
        <c:grouping val="stacked"/>
        <c:varyColors val="0"/>
        <c:ser>
          <c:idx val="0"/>
          <c:order val="0"/>
          <c:tx>
            <c:strRef>
              <c:f>Sheet3!$A$52</c:f>
              <c:strCache>
                <c:ptCount val="1"/>
                <c:pt idx="0">
                  <c:v>Agree</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Sheet3!$B$51:$F$51</c:f>
              <c:strCache>
                <c:ptCount val="5"/>
                <c:pt idx="0">
                  <c:v>Breastfeeding is normal</c:v>
                </c:pt>
                <c:pt idx="1">
                  <c:v>Breastfeeding is good for baby</c:v>
                </c:pt>
                <c:pt idx="2">
                  <c:v>Breastfeeding is embarrassing</c:v>
                </c:pt>
                <c:pt idx="3">
                  <c:v>Breastfeeding is distasteful</c:v>
                </c:pt>
                <c:pt idx="4">
                  <c:v>Breastfeeding is offensive</c:v>
                </c:pt>
              </c:strCache>
            </c:strRef>
          </c:cat>
          <c:val>
            <c:numRef>
              <c:f>Sheet3!$B$52:$F$52</c:f>
              <c:numCache>
                <c:formatCode>0</c:formatCode>
                <c:ptCount val="5"/>
                <c:pt idx="0">
                  <c:v>88.773352641014483</c:v>
                </c:pt>
                <c:pt idx="1">
                  <c:v>84.71762608599137</c:v>
                </c:pt>
                <c:pt idx="2">
                  <c:v>16.985482699316599</c:v>
                </c:pt>
                <c:pt idx="3">
                  <c:v>3.5885547498264798</c:v>
                </c:pt>
                <c:pt idx="4">
                  <c:v>3.0444042883722835</c:v>
                </c:pt>
              </c:numCache>
            </c:numRef>
          </c:val>
        </c:ser>
        <c:ser>
          <c:idx val="1"/>
          <c:order val="1"/>
          <c:tx>
            <c:strRef>
              <c:f>Sheet3!$A$53</c:f>
              <c:strCache>
                <c:ptCount val="1"/>
                <c:pt idx="0">
                  <c:v>Neither</c:v>
                </c:pt>
              </c:strCache>
            </c:strRef>
          </c:tx>
          <c:spPr>
            <a:solidFill>
              <a:srgbClr val="99CC00"/>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Sheet3!$B$51:$F$51</c:f>
              <c:strCache>
                <c:ptCount val="5"/>
                <c:pt idx="0">
                  <c:v>Breastfeeding is normal</c:v>
                </c:pt>
                <c:pt idx="1">
                  <c:v>Breastfeeding is good for baby</c:v>
                </c:pt>
                <c:pt idx="2">
                  <c:v>Breastfeeding is embarrassing</c:v>
                </c:pt>
                <c:pt idx="3">
                  <c:v>Breastfeeding is distasteful</c:v>
                </c:pt>
                <c:pt idx="4">
                  <c:v>Breastfeeding is offensive</c:v>
                </c:pt>
              </c:strCache>
            </c:strRef>
          </c:cat>
          <c:val>
            <c:numRef>
              <c:f>Sheet3!$B$53:$F$53</c:f>
              <c:numCache>
                <c:formatCode>0</c:formatCode>
                <c:ptCount val="5"/>
                <c:pt idx="0">
                  <c:v>8.2491015951486641</c:v>
                </c:pt>
                <c:pt idx="1">
                  <c:v>13.45010946811802</c:v>
                </c:pt>
                <c:pt idx="2">
                  <c:v>24.251865072160591</c:v>
                </c:pt>
                <c:pt idx="3">
                  <c:v>13.820922761601111</c:v>
                </c:pt>
                <c:pt idx="4">
                  <c:v>14.463940152847355</c:v>
                </c:pt>
              </c:numCache>
            </c:numRef>
          </c:val>
        </c:ser>
        <c:ser>
          <c:idx val="2"/>
          <c:order val="2"/>
          <c:tx>
            <c:strRef>
              <c:f>Sheet3!$A$54</c:f>
              <c:strCache>
                <c:ptCount val="1"/>
                <c:pt idx="0">
                  <c:v>Disagree</c:v>
                </c:pt>
              </c:strCache>
            </c:strRef>
          </c:tx>
          <c:spPr>
            <a:solidFill>
              <a:srgbClr val="DBD600"/>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Sheet3!$B$51:$F$51</c:f>
              <c:strCache>
                <c:ptCount val="5"/>
                <c:pt idx="0">
                  <c:v>Breastfeeding is normal</c:v>
                </c:pt>
                <c:pt idx="1">
                  <c:v>Breastfeeding is good for baby</c:v>
                </c:pt>
                <c:pt idx="2">
                  <c:v>Breastfeeding is embarrassing</c:v>
                </c:pt>
                <c:pt idx="3">
                  <c:v>Breastfeeding is distasteful</c:v>
                </c:pt>
                <c:pt idx="4">
                  <c:v>Breastfeeding is offensive</c:v>
                </c:pt>
              </c:strCache>
            </c:strRef>
          </c:cat>
          <c:val>
            <c:numRef>
              <c:f>Sheet3!$B$54:$F$54</c:f>
              <c:numCache>
                <c:formatCode>0</c:formatCode>
                <c:ptCount val="5"/>
                <c:pt idx="0">
                  <c:v>2.9775457638366443</c:v>
                </c:pt>
                <c:pt idx="1">
                  <c:v>1.8322644458918531</c:v>
                </c:pt>
                <c:pt idx="2">
                  <c:v>58.762652228522946</c:v>
                </c:pt>
                <c:pt idx="3">
                  <c:v>82.5905224885731</c:v>
                </c:pt>
                <c:pt idx="4">
                  <c:v>82.491655558780295</c:v>
                </c:pt>
              </c:numCache>
            </c:numRef>
          </c:val>
        </c:ser>
        <c:dLbls>
          <c:showLegendKey val="0"/>
          <c:showVal val="1"/>
          <c:showCatName val="0"/>
          <c:showSerName val="0"/>
          <c:showPercent val="0"/>
          <c:showBubbleSize val="0"/>
        </c:dLbls>
        <c:gapWidth val="70"/>
        <c:overlap val="100"/>
        <c:axId val="175112192"/>
        <c:axId val="175113728"/>
      </c:barChart>
      <c:catAx>
        <c:axId val="175112192"/>
        <c:scaling>
          <c:orientation val="minMax"/>
        </c:scaling>
        <c:delete val="0"/>
        <c:axPos val="b"/>
        <c:majorTickMark val="out"/>
        <c:minorTickMark val="none"/>
        <c:tickLblPos val="nextTo"/>
        <c:txPr>
          <a:bodyPr/>
          <a:lstStyle/>
          <a:p>
            <a:pPr>
              <a:defRPr sz="900"/>
            </a:pPr>
            <a:endParaRPr lang="en-US"/>
          </a:p>
        </c:txPr>
        <c:crossAx val="175113728"/>
        <c:crosses val="autoZero"/>
        <c:auto val="1"/>
        <c:lblAlgn val="ctr"/>
        <c:lblOffset val="100"/>
        <c:noMultiLvlLbl val="0"/>
      </c:catAx>
      <c:valAx>
        <c:axId val="175113728"/>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5112192"/>
        <c:crosses val="autoZero"/>
        <c:crossBetween val="between"/>
        <c:majorUnit val="20"/>
      </c:valAx>
    </c:plotArea>
    <c:legend>
      <c:legendPos val="b"/>
      <c:layout>
        <c:manualLayout>
          <c:xMode val="edge"/>
          <c:yMode val="edge"/>
          <c:x val="0"/>
          <c:y val="0.92499523809523865"/>
          <c:w val="0.9978778509571451"/>
          <c:h val="7.0194444444444504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Length of Time Baby Breastfed</a:t>
            </a:r>
            <a:r>
              <a:rPr lang="en-GB" baseline="0"/>
              <a:t> by Urban-Rural</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9.1330951472475635E-2"/>
          <c:y val="0.12633568128097039"/>
          <c:w val="0.90613294483563867"/>
          <c:h val="0.62003055555555564"/>
        </c:manualLayout>
      </c:layout>
      <c:barChart>
        <c:barDir val="col"/>
        <c:grouping val="stacked"/>
        <c:varyColors val="0"/>
        <c:ser>
          <c:idx val="0"/>
          <c:order val="0"/>
          <c:tx>
            <c:strRef>
              <c:f>Sheet5!$A$81</c:f>
              <c:strCache>
                <c:ptCount val="1"/>
                <c:pt idx="0">
                  <c:v>Breastfed over 6 months</c:v>
                </c:pt>
              </c:strCache>
            </c:strRef>
          </c:tx>
          <c:spPr>
            <a:solidFill>
              <a:srgbClr val="3333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Sheet5!$B$80:$C$80</c:f>
              <c:strCache>
                <c:ptCount val="2"/>
                <c:pt idx="0">
                  <c:v>Urban</c:v>
                </c:pt>
                <c:pt idx="1">
                  <c:v>Rural</c:v>
                </c:pt>
              </c:strCache>
            </c:strRef>
          </c:cat>
          <c:val>
            <c:numRef>
              <c:f>Sheet5!$B$81:$C$81</c:f>
              <c:numCache>
                <c:formatCode>0</c:formatCode>
                <c:ptCount val="2"/>
                <c:pt idx="0">
                  <c:v>14.213576348013214</c:v>
                </c:pt>
                <c:pt idx="1">
                  <c:v>20.955460345737116</c:v>
                </c:pt>
              </c:numCache>
            </c:numRef>
          </c:val>
        </c:ser>
        <c:ser>
          <c:idx val="1"/>
          <c:order val="1"/>
          <c:tx>
            <c:strRef>
              <c:f>Sheet5!$A$82</c:f>
              <c:strCache>
                <c:ptCount val="1"/>
                <c:pt idx="0">
                  <c:v>Breastfed between 3 and 6 months</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Sheet5!$B$80:$C$80</c:f>
              <c:strCache>
                <c:ptCount val="2"/>
                <c:pt idx="0">
                  <c:v>Urban</c:v>
                </c:pt>
                <c:pt idx="1">
                  <c:v>Rural</c:v>
                </c:pt>
              </c:strCache>
            </c:strRef>
          </c:cat>
          <c:val>
            <c:numRef>
              <c:f>Sheet5!$B$82:$C$82</c:f>
              <c:numCache>
                <c:formatCode>0</c:formatCode>
                <c:ptCount val="2"/>
                <c:pt idx="0">
                  <c:v>12.39698679721938</c:v>
                </c:pt>
                <c:pt idx="1">
                  <c:v>12.953212568270525</c:v>
                </c:pt>
              </c:numCache>
            </c:numRef>
          </c:val>
        </c:ser>
        <c:ser>
          <c:idx val="2"/>
          <c:order val="2"/>
          <c:tx>
            <c:strRef>
              <c:f>Sheet5!$A$83</c:f>
              <c:strCache>
                <c:ptCount val="1"/>
                <c:pt idx="0">
                  <c:v>Breastfed 6 weeks to 3 months</c:v>
                </c:pt>
              </c:strCache>
            </c:strRef>
          </c:tx>
          <c:spPr>
            <a:solidFill>
              <a:srgbClr val="99CC00"/>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Sheet5!$B$80:$C$80</c:f>
              <c:strCache>
                <c:ptCount val="2"/>
                <c:pt idx="0">
                  <c:v>Urban</c:v>
                </c:pt>
                <c:pt idx="1">
                  <c:v>Rural</c:v>
                </c:pt>
              </c:strCache>
            </c:strRef>
          </c:cat>
          <c:val>
            <c:numRef>
              <c:f>Sheet5!$B$83:$C$83</c:f>
              <c:numCache>
                <c:formatCode>0</c:formatCode>
                <c:ptCount val="2"/>
                <c:pt idx="0">
                  <c:v>8.4050931491786223</c:v>
                </c:pt>
                <c:pt idx="1">
                  <c:v>9.4872027617806616</c:v>
                </c:pt>
              </c:numCache>
            </c:numRef>
          </c:val>
        </c:ser>
        <c:ser>
          <c:idx val="3"/>
          <c:order val="3"/>
          <c:tx>
            <c:strRef>
              <c:f>Sheet5!$A$84</c:f>
              <c:strCache>
                <c:ptCount val="1"/>
                <c:pt idx="0">
                  <c:v>Breastfed under 6 weeks</c:v>
                </c:pt>
              </c:strCache>
            </c:strRef>
          </c:tx>
          <c:spPr>
            <a:solidFill>
              <a:srgbClr val="DBD600"/>
            </a:solidFill>
            <a:ln>
              <a:noFill/>
            </a:ln>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Sheet5!$B$80:$C$80</c:f>
              <c:strCache>
                <c:ptCount val="2"/>
                <c:pt idx="0">
                  <c:v>Urban</c:v>
                </c:pt>
                <c:pt idx="1">
                  <c:v>Rural</c:v>
                </c:pt>
              </c:strCache>
            </c:strRef>
          </c:cat>
          <c:val>
            <c:numRef>
              <c:f>Sheet5!$B$84:$C$84</c:f>
              <c:numCache>
                <c:formatCode>0</c:formatCode>
                <c:ptCount val="2"/>
                <c:pt idx="0">
                  <c:v>16.97800371605555</c:v>
                </c:pt>
                <c:pt idx="1">
                  <c:v>19.806744013637129</c:v>
                </c:pt>
              </c:numCache>
            </c:numRef>
          </c:val>
        </c:ser>
        <c:dLbls>
          <c:showLegendKey val="0"/>
          <c:showVal val="1"/>
          <c:showCatName val="0"/>
          <c:showSerName val="0"/>
          <c:showPercent val="0"/>
          <c:showBubbleSize val="0"/>
        </c:dLbls>
        <c:gapWidth val="70"/>
        <c:overlap val="100"/>
        <c:axId val="175167360"/>
        <c:axId val="175168896"/>
      </c:barChart>
      <c:catAx>
        <c:axId val="175167360"/>
        <c:scaling>
          <c:orientation val="minMax"/>
        </c:scaling>
        <c:delete val="0"/>
        <c:axPos val="b"/>
        <c:majorTickMark val="out"/>
        <c:minorTickMark val="none"/>
        <c:tickLblPos val="nextTo"/>
        <c:txPr>
          <a:bodyPr/>
          <a:lstStyle/>
          <a:p>
            <a:pPr>
              <a:defRPr sz="900"/>
            </a:pPr>
            <a:endParaRPr lang="en-US"/>
          </a:p>
        </c:txPr>
        <c:crossAx val="175168896"/>
        <c:crosses val="autoZero"/>
        <c:auto val="1"/>
        <c:lblAlgn val="ctr"/>
        <c:lblOffset val="100"/>
        <c:noMultiLvlLbl val="0"/>
      </c:catAx>
      <c:valAx>
        <c:axId val="175168896"/>
        <c:scaling>
          <c:orientation val="minMax"/>
          <c:max val="70"/>
        </c:scaling>
        <c:delete val="0"/>
        <c:axPos val="l"/>
        <c:title>
          <c:tx>
            <c:rich>
              <a:bodyPr rot="0" vert="horz"/>
              <a:lstStyle/>
              <a:p>
                <a:pPr>
                  <a:defRPr sz="900"/>
                </a:pPr>
                <a:r>
                  <a:rPr lang="en-GB" sz="900"/>
                  <a:t>%</a:t>
                </a:r>
              </a:p>
            </c:rich>
          </c:tx>
          <c:layout>
            <c:manualLayout>
              <c:xMode val="edge"/>
              <c:yMode val="edge"/>
              <c:x val="1.671233827049154E-3"/>
              <c:y val="0.3885115079365084"/>
            </c:manualLayout>
          </c:layout>
          <c:overlay val="0"/>
        </c:title>
        <c:numFmt formatCode="0" sourceLinked="1"/>
        <c:majorTickMark val="out"/>
        <c:minorTickMark val="none"/>
        <c:tickLblPos val="nextTo"/>
        <c:txPr>
          <a:bodyPr/>
          <a:lstStyle/>
          <a:p>
            <a:pPr>
              <a:defRPr sz="900"/>
            </a:pPr>
            <a:endParaRPr lang="en-US"/>
          </a:p>
        </c:txPr>
        <c:crossAx val="175167360"/>
        <c:crosses val="autoZero"/>
        <c:crossBetween val="between"/>
        <c:majorUnit val="10"/>
      </c:valAx>
    </c:plotArea>
    <c:legend>
      <c:legendPos val="b"/>
      <c:layout>
        <c:manualLayout>
          <c:xMode val="edge"/>
          <c:yMode val="edge"/>
          <c:x val="0"/>
          <c:y val="0.86453767843060492"/>
          <c:w val="0.9978778509571451"/>
          <c:h val="0.13065173828617183"/>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Length of Time Baby Breastfed by Deprivation</a:t>
            </a:r>
          </a:p>
        </c:rich>
      </c:tx>
      <c:layout>
        <c:manualLayout>
          <c:xMode val="edge"/>
          <c:yMode val="edge"/>
          <c:x val="1.1224694327520621E-3"/>
          <c:y val="0"/>
        </c:manualLayout>
      </c:layout>
      <c:overlay val="0"/>
    </c:title>
    <c:autoTitleDeleted val="0"/>
    <c:plotArea>
      <c:layout>
        <c:manualLayout>
          <c:layoutTarget val="inner"/>
          <c:xMode val="edge"/>
          <c:yMode val="edge"/>
          <c:x val="8.9187045451917663E-2"/>
          <c:y val="0.12708388888888889"/>
          <c:w val="0.90827708210482561"/>
          <c:h val="0.5926338888888889"/>
        </c:manualLayout>
      </c:layout>
      <c:barChart>
        <c:barDir val="col"/>
        <c:grouping val="stacked"/>
        <c:varyColors val="0"/>
        <c:ser>
          <c:idx val="0"/>
          <c:order val="0"/>
          <c:tx>
            <c:strRef>
              <c:f>Sheet5!$A$81</c:f>
              <c:strCache>
                <c:ptCount val="1"/>
                <c:pt idx="0">
                  <c:v>Breastfed over 6 months</c:v>
                </c:pt>
              </c:strCache>
            </c:strRef>
          </c:tx>
          <c:spPr>
            <a:solidFill>
              <a:srgbClr val="3333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Sheet5!$D$80:$E$80</c:f>
              <c:strCache>
                <c:ptCount val="2"/>
                <c:pt idx="0">
                  <c:v>Most Deprived</c:v>
                </c:pt>
                <c:pt idx="1">
                  <c:v>Least Deprived</c:v>
                </c:pt>
              </c:strCache>
            </c:strRef>
          </c:cat>
          <c:val>
            <c:numRef>
              <c:f>Sheet5!$D$81:$E$81</c:f>
              <c:numCache>
                <c:formatCode>0</c:formatCode>
                <c:ptCount val="2"/>
                <c:pt idx="0">
                  <c:v>9.0852946408051061</c:v>
                </c:pt>
                <c:pt idx="1">
                  <c:v>19.020823459009328</c:v>
                </c:pt>
              </c:numCache>
            </c:numRef>
          </c:val>
        </c:ser>
        <c:ser>
          <c:idx val="1"/>
          <c:order val="1"/>
          <c:tx>
            <c:strRef>
              <c:f>Sheet5!$A$82</c:f>
              <c:strCache>
                <c:ptCount val="1"/>
                <c:pt idx="0">
                  <c:v>Breastfed between 3 and 6 months</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Sheet5!$D$80:$E$80</c:f>
              <c:strCache>
                <c:ptCount val="2"/>
                <c:pt idx="0">
                  <c:v>Most Deprived</c:v>
                </c:pt>
                <c:pt idx="1">
                  <c:v>Least Deprived</c:v>
                </c:pt>
              </c:strCache>
            </c:strRef>
          </c:cat>
          <c:val>
            <c:numRef>
              <c:f>Sheet5!$D$82:$E$82</c:f>
              <c:numCache>
                <c:formatCode>0</c:formatCode>
                <c:ptCount val="2"/>
                <c:pt idx="0">
                  <c:v>6.159077787845356</c:v>
                </c:pt>
                <c:pt idx="1">
                  <c:v>16.626505242613625</c:v>
                </c:pt>
              </c:numCache>
            </c:numRef>
          </c:val>
        </c:ser>
        <c:ser>
          <c:idx val="2"/>
          <c:order val="2"/>
          <c:tx>
            <c:strRef>
              <c:f>Sheet5!$A$83</c:f>
              <c:strCache>
                <c:ptCount val="1"/>
                <c:pt idx="0">
                  <c:v>Breastfed 6 weeks to 3 months</c:v>
                </c:pt>
              </c:strCache>
            </c:strRef>
          </c:tx>
          <c:spPr>
            <a:solidFill>
              <a:srgbClr val="99CC00"/>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Sheet5!$D$80:$E$80</c:f>
              <c:strCache>
                <c:ptCount val="2"/>
                <c:pt idx="0">
                  <c:v>Most Deprived</c:v>
                </c:pt>
                <c:pt idx="1">
                  <c:v>Least Deprived</c:v>
                </c:pt>
              </c:strCache>
            </c:strRef>
          </c:cat>
          <c:val>
            <c:numRef>
              <c:f>Sheet5!$D$83:$E$83</c:f>
              <c:numCache>
                <c:formatCode>0</c:formatCode>
                <c:ptCount val="2"/>
                <c:pt idx="0">
                  <c:v>6.4687094828270606</c:v>
                </c:pt>
                <c:pt idx="1">
                  <c:v>6.2452201905333089</c:v>
                </c:pt>
              </c:numCache>
            </c:numRef>
          </c:val>
        </c:ser>
        <c:ser>
          <c:idx val="3"/>
          <c:order val="3"/>
          <c:tx>
            <c:strRef>
              <c:f>Sheet5!$A$84</c:f>
              <c:strCache>
                <c:ptCount val="1"/>
                <c:pt idx="0">
                  <c:v>Breastfed under 6 weeks</c:v>
                </c:pt>
              </c:strCache>
            </c:strRef>
          </c:tx>
          <c:spPr>
            <a:solidFill>
              <a:srgbClr val="DBD600"/>
            </a:solidFill>
            <a:ln>
              <a:solidFill>
                <a:srgbClr val="4F81BD">
                  <a:lumMod val="40000"/>
                  <a:lumOff val="60000"/>
                </a:srgbClr>
              </a:solidFill>
            </a:ln>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Sheet5!$D$80:$E$80</c:f>
              <c:strCache>
                <c:ptCount val="2"/>
                <c:pt idx="0">
                  <c:v>Most Deprived</c:v>
                </c:pt>
                <c:pt idx="1">
                  <c:v>Least Deprived</c:v>
                </c:pt>
              </c:strCache>
            </c:strRef>
          </c:cat>
          <c:val>
            <c:numRef>
              <c:f>Sheet5!$D$84:$E$84</c:f>
              <c:numCache>
                <c:formatCode>0</c:formatCode>
                <c:ptCount val="2"/>
                <c:pt idx="0">
                  <c:v>15.73324689446485</c:v>
                </c:pt>
                <c:pt idx="1">
                  <c:v>21.775460053220129</c:v>
                </c:pt>
              </c:numCache>
            </c:numRef>
          </c:val>
        </c:ser>
        <c:dLbls>
          <c:showLegendKey val="0"/>
          <c:showVal val="1"/>
          <c:showCatName val="0"/>
          <c:showSerName val="0"/>
          <c:showPercent val="0"/>
          <c:showBubbleSize val="0"/>
        </c:dLbls>
        <c:gapWidth val="70"/>
        <c:overlap val="100"/>
        <c:axId val="175235072"/>
        <c:axId val="175236608"/>
      </c:barChart>
      <c:catAx>
        <c:axId val="175235072"/>
        <c:scaling>
          <c:orientation val="minMax"/>
        </c:scaling>
        <c:delete val="0"/>
        <c:axPos val="b"/>
        <c:majorTickMark val="out"/>
        <c:minorTickMark val="none"/>
        <c:tickLblPos val="nextTo"/>
        <c:txPr>
          <a:bodyPr/>
          <a:lstStyle/>
          <a:p>
            <a:pPr>
              <a:defRPr sz="900"/>
            </a:pPr>
            <a:endParaRPr lang="en-US"/>
          </a:p>
        </c:txPr>
        <c:crossAx val="175236608"/>
        <c:crosses val="autoZero"/>
        <c:auto val="1"/>
        <c:lblAlgn val="ctr"/>
        <c:lblOffset val="100"/>
        <c:noMultiLvlLbl val="0"/>
      </c:catAx>
      <c:valAx>
        <c:axId val="175236608"/>
        <c:scaling>
          <c:orientation val="minMax"/>
          <c:max val="7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5235072"/>
        <c:crosses val="autoZero"/>
        <c:crossBetween val="between"/>
        <c:majorUnit val="10"/>
      </c:valAx>
    </c:plotArea>
    <c:legend>
      <c:legendPos val="b"/>
      <c:layout>
        <c:manualLayout>
          <c:xMode val="edge"/>
          <c:yMode val="edge"/>
          <c:x val="0"/>
          <c:y val="0.85785631275946173"/>
          <c:w val="0.9978778509571451"/>
          <c:h val="0.1373331039573150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b="1" i="0" baseline="0"/>
              <a:t>Health over last 12 months by Deprivation</a:t>
            </a:r>
            <a:endParaRPr lang="en-GB" sz="1000"/>
          </a:p>
        </c:rich>
      </c:tx>
      <c:layout>
        <c:manualLayout>
          <c:xMode val="edge"/>
          <c:yMode val="edge"/>
          <c:x val="1.1224694327520621E-3"/>
          <c:y val="0"/>
        </c:manualLayout>
      </c:layout>
      <c:overlay val="0"/>
    </c:title>
    <c:autoTitleDeleted val="0"/>
    <c:plotArea>
      <c:layout>
        <c:manualLayout>
          <c:layoutTarget val="inner"/>
          <c:xMode val="edge"/>
          <c:yMode val="edge"/>
          <c:x val="9.8257541595847112E-2"/>
          <c:y val="0.10691410256410259"/>
          <c:w val="0.89920658596089487"/>
          <c:h val="0.7038871794871796"/>
        </c:manualLayout>
      </c:layout>
      <c:barChart>
        <c:barDir val="col"/>
        <c:grouping val="stacked"/>
        <c:varyColors val="0"/>
        <c:ser>
          <c:idx val="0"/>
          <c:order val="0"/>
          <c:tx>
            <c:strRef>
              <c:f>'Health last 12 months'!$A$4</c:f>
              <c:strCache>
                <c:ptCount val="1"/>
                <c:pt idx="0">
                  <c:v>Good</c:v>
                </c:pt>
              </c:strCache>
            </c:strRef>
          </c:tx>
          <c:spPr>
            <a:solidFill>
              <a:srgbClr val="4F81B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'Health last 12 months'!$L$3:$P$3</c:f>
              <c:strCache>
                <c:ptCount val="5"/>
                <c:pt idx="0">
                  <c:v>Most Deprived</c:v>
                </c:pt>
                <c:pt idx="1">
                  <c:v>Q2</c:v>
                </c:pt>
                <c:pt idx="2">
                  <c:v>Q3</c:v>
                </c:pt>
                <c:pt idx="3">
                  <c:v>Q4 </c:v>
                </c:pt>
                <c:pt idx="4">
                  <c:v>Least Deprived</c:v>
                </c:pt>
              </c:strCache>
            </c:strRef>
          </c:cat>
          <c:val>
            <c:numRef>
              <c:f>'Health last 12 months'!$L$4:$P$4</c:f>
              <c:numCache>
                <c:formatCode>0</c:formatCode>
                <c:ptCount val="5"/>
                <c:pt idx="0">
                  <c:v>53.419357139093194</c:v>
                </c:pt>
                <c:pt idx="1">
                  <c:v>56.046396276586115</c:v>
                </c:pt>
                <c:pt idx="2">
                  <c:v>63.722391987835373</c:v>
                </c:pt>
                <c:pt idx="3">
                  <c:v>61.920547518579333</c:v>
                </c:pt>
                <c:pt idx="4">
                  <c:v>68.982428194667278</c:v>
                </c:pt>
              </c:numCache>
            </c:numRef>
          </c:val>
        </c:ser>
        <c:ser>
          <c:idx val="1"/>
          <c:order val="1"/>
          <c:tx>
            <c:strRef>
              <c:f>'Health last 12 months'!$A$5</c:f>
              <c:strCache>
                <c:ptCount val="1"/>
                <c:pt idx="0">
                  <c:v>Fairly Good</c:v>
                </c:pt>
              </c:strCache>
            </c:strRef>
          </c:tx>
          <c:spPr>
            <a:solidFill>
              <a:srgbClr val="4F81BD">
                <a:lumMod val="60000"/>
                <a:lumOff val="40000"/>
              </a:srgbClr>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'Health last 12 months'!$L$3:$P$3</c:f>
              <c:strCache>
                <c:ptCount val="5"/>
                <c:pt idx="0">
                  <c:v>Most Deprived</c:v>
                </c:pt>
                <c:pt idx="1">
                  <c:v>Q2</c:v>
                </c:pt>
                <c:pt idx="2">
                  <c:v>Q3</c:v>
                </c:pt>
                <c:pt idx="3">
                  <c:v>Q4 </c:v>
                </c:pt>
                <c:pt idx="4">
                  <c:v>Least Deprived</c:v>
                </c:pt>
              </c:strCache>
            </c:strRef>
          </c:cat>
          <c:val>
            <c:numRef>
              <c:f>'Health last 12 months'!$L$5:$P$5</c:f>
              <c:numCache>
                <c:formatCode>0</c:formatCode>
                <c:ptCount val="5"/>
                <c:pt idx="0">
                  <c:v>21.972445757489727</c:v>
                </c:pt>
                <c:pt idx="1">
                  <c:v>28.267757924071329</c:v>
                </c:pt>
                <c:pt idx="2">
                  <c:v>23.954125241330729</c:v>
                </c:pt>
                <c:pt idx="3">
                  <c:v>23.750296349458033</c:v>
                </c:pt>
                <c:pt idx="4">
                  <c:v>21.298097293507151</c:v>
                </c:pt>
              </c:numCache>
            </c:numRef>
          </c:val>
        </c:ser>
        <c:ser>
          <c:idx val="2"/>
          <c:order val="2"/>
          <c:tx>
            <c:strRef>
              <c:f>'Health last 12 months'!$A$6</c:f>
              <c:strCache>
                <c:ptCount val="1"/>
                <c:pt idx="0">
                  <c:v>Not Good</c:v>
                </c:pt>
              </c:strCache>
            </c:strRef>
          </c:tx>
          <c:spPr>
            <a:solidFill>
              <a:srgbClr val="4F81B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'Health last 12 months'!$L$3:$P$3</c:f>
              <c:strCache>
                <c:ptCount val="5"/>
                <c:pt idx="0">
                  <c:v>Most Deprived</c:v>
                </c:pt>
                <c:pt idx="1">
                  <c:v>Q2</c:v>
                </c:pt>
                <c:pt idx="2">
                  <c:v>Q3</c:v>
                </c:pt>
                <c:pt idx="3">
                  <c:v>Q4 </c:v>
                </c:pt>
                <c:pt idx="4">
                  <c:v>Least Deprived</c:v>
                </c:pt>
              </c:strCache>
            </c:strRef>
          </c:cat>
          <c:val>
            <c:numRef>
              <c:f>'Health last 12 months'!$L$6:$P$6</c:f>
              <c:numCache>
                <c:formatCode>0</c:formatCode>
                <c:ptCount val="5"/>
                <c:pt idx="0">
                  <c:v>24.608197103416895</c:v>
                </c:pt>
                <c:pt idx="1">
                  <c:v>15.685845799342356</c:v>
                </c:pt>
                <c:pt idx="2">
                  <c:v>12.323482770834676</c:v>
                </c:pt>
                <c:pt idx="3">
                  <c:v>14.329156131962804</c:v>
                </c:pt>
                <c:pt idx="4">
                  <c:v>9.7194745118253767</c:v>
                </c:pt>
              </c:numCache>
            </c:numRef>
          </c:val>
        </c:ser>
        <c:dLbls>
          <c:showLegendKey val="0"/>
          <c:showVal val="1"/>
          <c:showCatName val="0"/>
          <c:showSerName val="0"/>
          <c:showPercent val="0"/>
          <c:showBubbleSize val="0"/>
        </c:dLbls>
        <c:gapWidth val="70"/>
        <c:overlap val="100"/>
        <c:axId val="130562688"/>
        <c:axId val="130572672"/>
      </c:barChart>
      <c:catAx>
        <c:axId val="130562688"/>
        <c:scaling>
          <c:orientation val="minMax"/>
        </c:scaling>
        <c:delete val="0"/>
        <c:axPos val="b"/>
        <c:majorTickMark val="out"/>
        <c:minorTickMark val="none"/>
        <c:tickLblPos val="nextTo"/>
        <c:txPr>
          <a:bodyPr/>
          <a:lstStyle/>
          <a:p>
            <a:pPr>
              <a:defRPr sz="900"/>
            </a:pPr>
            <a:endParaRPr lang="en-US"/>
          </a:p>
        </c:txPr>
        <c:crossAx val="130572672"/>
        <c:crosses val="autoZero"/>
        <c:auto val="1"/>
        <c:lblAlgn val="ctr"/>
        <c:lblOffset val="100"/>
        <c:noMultiLvlLbl val="0"/>
      </c:catAx>
      <c:valAx>
        <c:axId val="130572672"/>
        <c:scaling>
          <c:orientation val="minMax"/>
          <c:max val="100"/>
        </c:scaling>
        <c:delete val="0"/>
        <c:axPos val="l"/>
        <c:title>
          <c:tx>
            <c:rich>
              <a:bodyPr rot="0" vert="horz"/>
              <a:lstStyle/>
              <a:p>
                <a:pPr>
                  <a:defRPr sz="900"/>
                </a:pPr>
                <a:r>
                  <a:rPr lang="en-GB" sz="900"/>
                  <a:t>%</a:t>
                </a:r>
              </a:p>
            </c:rich>
          </c:tx>
          <c:layout>
            <c:manualLayout>
              <c:xMode val="edge"/>
              <c:yMode val="edge"/>
              <c:x val="2.3749233988923181E-4"/>
              <c:y val="0.42030982905982994"/>
            </c:manualLayout>
          </c:layout>
          <c:overlay val="0"/>
        </c:title>
        <c:numFmt formatCode="0" sourceLinked="1"/>
        <c:majorTickMark val="out"/>
        <c:minorTickMark val="none"/>
        <c:tickLblPos val="nextTo"/>
        <c:txPr>
          <a:bodyPr/>
          <a:lstStyle/>
          <a:p>
            <a:pPr>
              <a:defRPr sz="900"/>
            </a:pPr>
            <a:endParaRPr lang="en-US"/>
          </a:p>
        </c:txPr>
        <c:crossAx val="130562688"/>
        <c:crosses val="autoZero"/>
        <c:crossBetween val="between"/>
        <c:majorUnit val="20"/>
      </c:valAx>
    </c:plotArea>
    <c:legend>
      <c:legendPos val="b"/>
      <c:layout>
        <c:manualLayout>
          <c:xMode val="edge"/>
          <c:yMode val="edge"/>
          <c:x val="0"/>
          <c:y val="0.90838803418803415"/>
          <c:w val="0.9978778509571451"/>
          <c:h val="8.680170940170937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18602973786525E-2"/>
          <c:y val="7.1063492063492079E-2"/>
          <c:w val="0.89974542418518977"/>
          <c:h val="0.71287222222222224"/>
        </c:manualLayout>
      </c:layout>
      <c:barChart>
        <c:barDir val="col"/>
        <c:grouping val="stacked"/>
        <c:varyColors val="0"/>
        <c:ser>
          <c:idx val="0"/>
          <c:order val="0"/>
          <c:tx>
            <c:strRef>
              <c:f>Sheet6!$I$85</c:f>
              <c:strCache>
                <c:ptCount val="1"/>
                <c:pt idx="0">
                  <c:v>Agree</c:v>
                </c:pt>
              </c:strCache>
            </c:strRef>
          </c:tx>
          <c:spPr>
            <a:solidFill>
              <a:srgbClr val="6699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Sheet6!$H$86:$H$87</c:f>
              <c:strCache>
                <c:ptCount val="2"/>
                <c:pt idx="0">
                  <c:v>Breastfed</c:v>
                </c:pt>
                <c:pt idx="1">
                  <c:v>Did not breastfeed</c:v>
                </c:pt>
              </c:strCache>
            </c:strRef>
          </c:cat>
          <c:val>
            <c:numRef>
              <c:f>Sheet6!$I$86:$I$87</c:f>
              <c:numCache>
                <c:formatCode>0</c:formatCode>
                <c:ptCount val="2"/>
                <c:pt idx="0">
                  <c:v>23.815892232003129</c:v>
                </c:pt>
                <c:pt idx="1">
                  <c:v>50.489828232781555</c:v>
                </c:pt>
              </c:numCache>
            </c:numRef>
          </c:val>
        </c:ser>
        <c:ser>
          <c:idx val="1"/>
          <c:order val="1"/>
          <c:tx>
            <c:strRef>
              <c:f>Sheet6!$J$85</c:f>
              <c:strCache>
                <c:ptCount val="1"/>
                <c:pt idx="0">
                  <c:v>Neither</c:v>
                </c:pt>
              </c:strCache>
            </c:strRef>
          </c:tx>
          <c:spPr>
            <a:solidFill>
              <a:srgbClr val="99CC00"/>
            </a:solidFill>
          </c:spPr>
          <c:invertIfNegative val="0"/>
          <c:dLbls>
            <c:txPr>
              <a:bodyPr/>
              <a:lstStyle/>
              <a:p>
                <a:pPr>
                  <a:defRPr sz="900">
                    <a:solidFill>
                      <a:schemeClr val="tx1"/>
                    </a:solidFill>
                  </a:defRPr>
                </a:pPr>
                <a:endParaRPr lang="en-US"/>
              </a:p>
            </c:txPr>
            <c:dLblPos val="ctr"/>
            <c:showLegendKey val="0"/>
            <c:showVal val="1"/>
            <c:showCatName val="0"/>
            <c:showSerName val="0"/>
            <c:showPercent val="0"/>
            <c:showBubbleSize val="0"/>
            <c:showLeaderLines val="0"/>
          </c:dLbls>
          <c:cat>
            <c:strRef>
              <c:f>Sheet6!$H$86:$H$87</c:f>
              <c:strCache>
                <c:ptCount val="2"/>
                <c:pt idx="0">
                  <c:v>Breastfed</c:v>
                </c:pt>
                <c:pt idx="1">
                  <c:v>Did not breastfeed</c:v>
                </c:pt>
              </c:strCache>
            </c:strRef>
          </c:cat>
          <c:val>
            <c:numRef>
              <c:f>Sheet6!$J$86:$J$87</c:f>
              <c:numCache>
                <c:formatCode>0</c:formatCode>
                <c:ptCount val="2"/>
                <c:pt idx="0">
                  <c:v>25.135916854694191</c:v>
                </c:pt>
                <c:pt idx="1">
                  <c:v>34.933557967486095</c:v>
                </c:pt>
              </c:numCache>
            </c:numRef>
          </c:val>
        </c:ser>
        <c:ser>
          <c:idx val="2"/>
          <c:order val="2"/>
          <c:tx>
            <c:strRef>
              <c:f>Sheet6!$K$85</c:f>
              <c:strCache>
                <c:ptCount val="1"/>
                <c:pt idx="0">
                  <c:v>Disagree</c:v>
                </c:pt>
              </c:strCache>
            </c:strRef>
          </c:tx>
          <c:spPr>
            <a:solidFill>
              <a:srgbClr val="DBD600"/>
            </a:solidFill>
          </c:spPr>
          <c:invertIfNegative val="0"/>
          <c:dLbls>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Sheet6!$H$86:$H$87</c:f>
              <c:strCache>
                <c:ptCount val="2"/>
                <c:pt idx="0">
                  <c:v>Breastfed</c:v>
                </c:pt>
                <c:pt idx="1">
                  <c:v>Did not breastfeed</c:v>
                </c:pt>
              </c:strCache>
            </c:strRef>
          </c:cat>
          <c:val>
            <c:numRef>
              <c:f>Sheet6!$K$86:$K$87</c:f>
              <c:numCache>
                <c:formatCode>0</c:formatCode>
                <c:ptCount val="2"/>
                <c:pt idx="0">
                  <c:v>51.048190913303031</c:v>
                </c:pt>
                <c:pt idx="1">
                  <c:v>14.576613799732444</c:v>
                </c:pt>
              </c:numCache>
            </c:numRef>
          </c:val>
        </c:ser>
        <c:dLbls>
          <c:showLegendKey val="0"/>
          <c:showVal val="1"/>
          <c:showCatName val="0"/>
          <c:showSerName val="0"/>
          <c:showPercent val="0"/>
          <c:showBubbleSize val="0"/>
        </c:dLbls>
        <c:gapWidth val="70"/>
        <c:overlap val="100"/>
        <c:axId val="110740224"/>
        <c:axId val="110741760"/>
      </c:barChart>
      <c:catAx>
        <c:axId val="110740224"/>
        <c:scaling>
          <c:orientation val="minMax"/>
        </c:scaling>
        <c:delete val="0"/>
        <c:axPos val="b"/>
        <c:majorTickMark val="out"/>
        <c:minorTickMark val="none"/>
        <c:tickLblPos val="nextTo"/>
        <c:txPr>
          <a:bodyPr/>
          <a:lstStyle/>
          <a:p>
            <a:pPr>
              <a:defRPr sz="900"/>
            </a:pPr>
            <a:endParaRPr lang="en-US"/>
          </a:p>
        </c:txPr>
        <c:crossAx val="110741760"/>
        <c:crosses val="autoZero"/>
        <c:auto val="1"/>
        <c:lblAlgn val="ctr"/>
        <c:lblOffset val="100"/>
        <c:noMultiLvlLbl val="0"/>
      </c:catAx>
      <c:valAx>
        <c:axId val="110741760"/>
        <c:scaling>
          <c:orientation val="minMax"/>
          <c:max val="100"/>
        </c:scaling>
        <c:delete val="0"/>
        <c:axPos val="l"/>
        <c:title>
          <c:tx>
            <c:rich>
              <a:bodyPr rot="0" vert="horz"/>
              <a:lstStyle/>
              <a:p>
                <a:pPr>
                  <a:defRPr sz="900"/>
                </a:pPr>
                <a:r>
                  <a:rPr lang="en-US" sz="900"/>
                  <a:t>%</a:t>
                </a:r>
              </a:p>
            </c:rich>
          </c:tx>
          <c:overlay val="0"/>
        </c:title>
        <c:numFmt formatCode="0" sourceLinked="1"/>
        <c:majorTickMark val="out"/>
        <c:minorTickMark val="none"/>
        <c:tickLblPos val="nextTo"/>
        <c:txPr>
          <a:bodyPr/>
          <a:lstStyle/>
          <a:p>
            <a:pPr>
              <a:defRPr sz="900"/>
            </a:pPr>
            <a:endParaRPr lang="en-US"/>
          </a:p>
        </c:txPr>
        <c:crossAx val="110740224"/>
        <c:crosses val="autoZero"/>
        <c:crossBetween val="between"/>
        <c:majorUnit val="20"/>
      </c:valAx>
    </c:plotArea>
    <c:legend>
      <c:legendPos val="b"/>
      <c:layout>
        <c:manualLayout>
          <c:xMode val="edge"/>
          <c:yMode val="edge"/>
          <c:x val="0"/>
          <c:y val="0.92467013888889771"/>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b="1" i="0" baseline="0"/>
              <a:t>Sun Protection Measures by Gender</a:t>
            </a:r>
            <a:endParaRPr lang="en-GB" sz="1000"/>
          </a:p>
        </c:rich>
      </c:tx>
      <c:layout>
        <c:manualLayout>
          <c:xMode val="edge"/>
          <c:yMode val="edge"/>
          <c:x val="7.7969959106885724E-3"/>
          <c:y val="0"/>
        </c:manualLayout>
      </c:layout>
      <c:overlay val="0"/>
    </c:title>
    <c:autoTitleDeleted val="0"/>
    <c:plotArea>
      <c:layout>
        <c:manualLayout>
          <c:layoutTarget val="inner"/>
          <c:xMode val="edge"/>
          <c:yMode val="edge"/>
          <c:x val="8.487662037037054E-2"/>
          <c:y val="0.12655593522507788"/>
          <c:w val="0.89670347222222224"/>
          <c:h val="0.55284861090476978"/>
        </c:manualLayout>
      </c:layout>
      <c:barChart>
        <c:barDir val="col"/>
        <c:grouping val="clustered"/>
        <c:varyColors val="0"/>
        <c:ser>
          <c:idx val="0"/>
          <c:order val="0"/>
          <c:tx>
            <c:strRef>
              <c:f>'Sun Protection Measures'!$B$69</c:f>
              <c:strCache>
                <c:ptCount val="1"/>
                <c:pt idx="0">
                  <c:v>Male</c:v>
                </c:pt>
              </c:strCache>
            </c:strRef>
          </c:tx>
          <c:spPr>
            <a:solidFill>
              <a:srgbClr val="CC33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 Protection Measures'!$A$70:$A$75</c:f>
              <c:strCache>
                <c:ptCount val="6"/>
                <c:pt idx="0">
                  <c:v>I use sunscreen</c:v>
                </c:pt>
                <c:pt idx="1">
                  <c:v>I wear a hat</c:v>
                </c:pt>
                <c:pt idx="2">
                  <c:v>I stay in the shade</c:v>
                </c:pt>
                <c:pt idx="3">
                  <c:v>I avoid midday sun</c:v>
                </c:pt>
                <c:pt idx="4">
                  <c:v>I never go out in the sun</c:v>
                </c:pt>
                <c:pt idx="5">
                  <c:v>No protective measures taken</c:v>
                </c:pt>
              </c:strCache>
            </c:strRef>
          </c:cat>
          <c:val>
            <c:numRef>
              <c:f>'Sun Protection Measures'!$B$70:$B$75</c:f>
              <c:numCache>
                <c:formatCode>0</c:formatCode>
                <c:ptCount val="6"/>
                <c:pt idx="0">
                  <c:v>57.388900526304454</c:v>
                </c:pt>
                <c:pt idx="1">
                  <c:v>32.934993305909416</c:v>
                </c:pt>
                <c:pt idx="2">
                  <c:v>18.221137208151681</c:v>
                </c:pt>
                <c:pt idx="3">
                  <c:v>13.122671823726568</c:v>
                </c:pt>
                <c:pt idx="4">
                  <c:v>7.4007209771020097</c:v>
                </c:pt>
                <c:pt idx="5">
                  <c:v>21.142141566077889</c:v>
                </c:pt>
              </c:numCache>
            </c:numRef>
          </c:val>
        </c:ser>
        <c:ser>
          <c:idx val="1"/>
          <c:order val="1"/>
          <c:tx>
            <c:strRef>
              <c:f>'Sun Protection Measures'!$C$69</c:f>
              <c:strCache>
                <c:ptCount val="1"/>
                <c:pt idx="0">
                  <c:v>Female</c:v>
                </c:pt>
              </c:strCache>
            </c:strRef>
          </c:tx>
          <c:spPr>
            <a:solidFill>
              <a:srgbClr val="FFCC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 Protection Measures'!$A$70:$A$75</c:f>
              <c:strCache>
                <c:ptCount val="6"/>
                <c:pt idx="0">
                  <c:v>I use sunscreen</c:v>
                </c:pt>
                <c:pt idx="1">
                  <c:v>I wear a hat</c:v>
                </c:pt>
                <c:pt idx="2">
                  <c:v>I stay in the shade</c:v>
                </c:pt>
                <c:pt idx="3">
                  <c:v>I avoid midday sun</c:v>
                </c:pt>
                <c:pt idx="4">
                  <c:v>I never go out in the sun</c:v>
                </c:pt>
                <c:pt idx="5">
                  <c:v>No protective measures taken</c:v>
                </c:pt>
              </c:strCache>
            </c:strRef>
          </c:cat>
          <c:val>
            <c:numRef>
              <c:f>'Sun Protection Measures'!$C$70:$C$75</c:f>
              <c:numCache>
                <c:formatCode>0</c:formatCode>
                <c:ptCount val="6"/>
                <c:pt idx="0">
                  <c:v>74.461301525154283</c:v>
                </c:pt>
                <c:pt idx="1">
                  <c:v>28.478712732009775</c:v>
                </c:pt>
                <c:pt idx="2">
                  <c:v>24.332097730988362</c:v>
                </c:pt>
                <c:pt idx="3">
                  <c:v>22.713132601073589</c:v>
                </c:pt>
                <c:pt idx="4">
                  <c:v>10.669460068885774</c:v>
                </c:pt>
                <c:pt idx="5">
                  <c:v>8.7684474140097208</c:v>
                </c:pt>
              </c:numCache>
            </c:numRef>
          </c:val>
        </c:ser>
        <c:dLbls>
          <c:showLegendKey val="0"/>
          <c:showVal val="1"/>
          <c:showCatName val="0"/>
          <c:showSerName val="0"/>
          <c:showPercent val="0"/>
          <c:showBubbleSize val="0"/>
        </c:dLbls>
        <c:gapWidth val="150"/>
        <c:axId val="176394240"/>
        <c:axId val="176395776"/>
      </c:barChart>
      <c:catAx>
        <c:axId val="176394240"/>
        <c:scaling>
          <c:orientation val="minMax"/>
        </c:scaling>
        <c:delete val="0"/>
        <c:axPos val="b"/>
        <c:majorTickMark val="out"/>
        <c:minorTickMark val="none"/>
        <c:tickLblPos val="nextTo"/>
        <c:txPr>
          <a:bodyPr/>
          <a:lstStyle/>
          <a:p>
            <a:pPr>
              <a:defRPr sz="900"/>
            </a:pPr>
            <a:endParaRPr lang="en-US"/>
          </a:p>
        </c:txPr>
        <c:crossAx val="176395776"/>
        <c:crosses val="autoZero"/>
        <c:auto val="1"/>
        <c:lblAlgn val="ctr"/>
        <c:lblOffset val="100"/>
        <c:noMultiLvlLbl val="0"/>
      </c:catAx>
      <c:valAx>
        <c:axId val="176395776"/>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6394240"/>
        <c:crosses val="autoZero"/>
        <c:crossBetween val="between"/>
        <c:majorUnit val="20"/>
      </c:valAx>
    </c:plotArea>
    <c:legend>
      <c:legendPos val="b"/>
      <c:layout>
        <c:manualLayout>
          <c:xMode val="edge"/>
          <c:yMode val="edge"/>
          <c:x val="0.37647743055555588"/>
          <c:y val="0.90492732305034329"/>
          <c:w val="0.30560451388889498"/>
          <c:h val="9.1407395482660747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Sun Protection Measures by Deprivation</a:t>
            </a:r>
          </a:p>
        </c:rich>
      </c:tx>
      <c:layout>
        <c:manualLayout>
          <c:xMode val="edge"/>
          <c:yMode val="edge"/>
          <c:x val="3.1568663658474052E-3"/>
          <c:y val="0"/>
        </c:manualLayout>
      </c:layout>
      <c:overlay val="0"/>
    </c:title>
    <c:autoTitleDeleted val="0"/>
    <c:plotArea>
      <c:layout>
        <c:manualLayout>
          <c:layoutTarget val="inner"/>
          <c:xMode val="edge"/>
          <c:yMode val="edge"/>
          <c:x val="8.6073051441257029E-2"/>
          <c:y val="0.14386651234567902"/>
          <c:w val="0.89748378369003368"/>
          <c:h val="0.55253626543209811"/>
        </c:manualLayout>
      </c:layout>
      <c:barChart>
        <c:barDir val="col"/>
        <c:grouping val="clustered"/>
        <c:varyColors val="0"/>
        <c:ser>
          <c:idx val="0"/>
          <c:order val="0"/>
          <c:tx>
            <c:strRef>
              <c:f>'Sun Protection Measures'!$B$60</c:f>
              <c:strCache>
                <c:ptCount val="1"/>
                <c:pt idx="0">
                  <c:v>Most Deprived</c:v>
                </c:pt>
              </c:strCache>
            </c:strRef>
          </c:tx>
          <c:spPr>
            <a:solidFill>
              <a:srgbClr val="CC33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 Protection Measures'!$A$61:$A$66</c:f>
              <c:strCache>
                <c:ptCount val="6"/>
                <c:pt idx="0">
                  <c:v>I use sunscreen</c:v>
                </c:pt>
                <c:pt idx="1">
                  <c:v>I wear a hat</c:v>
                </c:pt>
                <c:pt idx="2">
                  <c:v>I stay in the shade</c:v>
                </c:pt>
                <c:pt idx="3">
                  <c:v>I avoid midday sun</c:v>
                </c:pt>
                <c:pt idx="4">
                  <c:v>I never go out in the sun</c:v>
                </c:pt>
                <c:pt idx="5">
                  <c:v>No protective measures taken</c:v>
                </c:pt>
              </c:strCache>
            </c:strRef>
          </c:cat>
          <c:val>
            <c:numRef>
              <c:f>'Sun Protection Measures'!$B$61:$B$66</c:f>
              <c:numCache>
                <c:formatCode>0</c:formatCode>
                <c:ptCount val="6"/>
                <c:pt idx="0">
                  <c:v>58.660102956318013</c:v>
                </c:pt>
                <c:pt idx="1">
                  <c:v>20.864348373025589</c:v>
                </c:pt>
                <c:pt idx="2">
                  <c:v>18.207749120315029</c:v>
                </c:pt>
                <c:pt idx="3">
                  <c:v>13.338310696225971</c:v>
                </c:pt>
                <c:pt idx="4">
                  <c:v>13.931213654211398</c:v>
                </c:pt>
                <c:pt idx="5">
                  <c:v>19.706296172600229</c:v>
                </c:pt>
              </c:numCache>
            </c:numRef>
          </c:val>
        </c:ser>
        <c:ser>
          <c:idx val="1"/>
          <c:order val="1"/>
          <c:tx>
            <c:strRef>
              <c:f>'Sun Protection Measures'!$C$60</c:f>
              <c:strCache>
                <c:ptCount val="1"/>
                <c:pt idx="0">
                  <c:v>Least Deprived</c:v>
                </c:pt>
              </c:strCache>
            </c:strRef>
          </c:tx>
          <c:spPr>
            <a:solidFill>
              <a:srgbClr val="FFCC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 Protection Measures'!$A$61:$A$66</c:f>
              <c:strCache>
                <c:ptCount val="6"/>
                <c:pt idx="0">
                  <c:v>I use sunscreen</c:v>
                </c:pt>
                <c:pt idx="1">
                  <c:v>I wear a hat</c:v>
                </c:pt>
                <c:pt idx="2">
                  <c:v>I stay in the shade</c:v>
                </c:pt>
                <c:pt idx="3">
                  <c:v>I avoid midday sun</c:v>
                </c:pt>
                <c:pt idx="4">
                  <c:v>I never go out in the sun</c:v>
                </c:pt>
                <c:pt idx="5">
                  <c:v>No protective measures taken</c:v>
                </c:pt>
              </c:strCache>
            </c:strRef>
          </c:cat>
          <c:val>
            <c:numRef>
              <c:f>'Sun Protection Measures'!$C$61:$C$66</c:f>
              <c:numCache>
                <c:formatCode>0</c:formatCode>
                <c:ptCount val="6"/>
                <c:pt idx="0">
                  <c:v>77.689100967708882</c:v>
                </c:pt>
                <c:pt idx="1">
                  <c:v>39.494746360912046</c:v>
                </c:pt>
                <c:pt idx="2">
                  <c:v>27.248731717252852</c:v>
                </c:pt>
                <c:pt idx="3">
                  <c:v>24.046020161564087</c:v>
                </c:pt>
                <c:pt idx="4">
                  <c:v>7.5427596613963805</c:v>
                </c:pt>
                <c:pt idx="5">
                  <c:v>7.9348167913481413</c:v>
                </c:pt>
              </c:numCache>
            </c:numRef>
          </c:val>
        </c:ser>
        <c:dLbls>
          <c:showLegendKey val="0"/>
          <c:showVal val="1"/>
          <c:showCatName val="0"/>
          <c:showSerName val="0"/>
          <c:showPercent val="0"/>
          <c:showBubbleSize val="0"/>
        </c:dLbls>
        <c:gapWidth val="150"/>
        <c:axId val="176414080"/>
        <c:axId val="176587904"/>
      </c:barChart>
      <c:catAx>
        <c:axId val="176414080"/>
        <c:scaling>
          <c:orientation val="minMax"/>
        </c:scaling>
        <c:delete val="0"/>
        <c:axPos val="b"/>
        <c:majorTickMark val="out"/>
        <c:minorTickMark val="none"/>
        <c:tickLblPos val="nextTo"/>
        <c:txPr>
          <a:bodyPr/>
          <a:lstStyle/>
          <a:p>
            <a:pPr>
              <a:defRPr sz="900"/>
            </a:pPr>
            <a:endParaRPr lang="en-US"/>
          </a:p>
        </c:txPr>
        <c:crossAx val="176587904"/>
        <c:crosses val="autoZero"/>
        <c:auto val="1"/>
        <c:lblAlgn val="ctr"/>
        <c:lblOffset val="100"/>
        <c:noMultiLvlLbl val="0"/>
      </c:catAx>
      <c:valAx>
        <c:axId val="176587904"/>
        <c:scaling>
          <c:orientation val="minMax"/>
          <c:max val="8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6414080"/>
        <c:crosses val="autoZero"/>
        <c:crossBetween val="between"/>
        <c:majorUnit val="20"/>
      </c:valAx>
    </c:plotArea>
    <c:legend>
      <c:legendPos val="b"/>
      <c:layout>
        <c:manualLayout>
          <c:xMode val="edge"/>
          <c:yMode val="edge"/>
          <c:x val="0.13193940053945738"/>
          <c:y val="0.90492732305034329"/>
          <c:w val="0.75459238671534057"/>
          <c:h val="9.1407395482660747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Use of Sunscreen by Gender</a:t>
            </a:r>
          </a:p>
        </c:rich>
      </c:tx>
      <c:layout>
        <c:manualLayout>
          <c:xMode val="edge"/>
          <c:yMode val="edge"/>
          <c:x val="2.8174603174602932E-3"/>
          <c:y val="0"/>
        </c:manualLayout>
      </c:layout>
      <c:overlay val="0"/>
    </c:title>
    <c:autoTitleDeleted val="0"/>
    <c:plotArea>
      <c:layout>
        <c:manualLayout>
          <c:layoutTarget val="inner"/>
          <c:xMode val="edge"/>
          <c:yMode val="edge"/>
          <c:x val="9.8421296296296493E-2"/>
          <c:y val="0.11838439063041648"/>
          <c:w val="0.90157870370370352"/>
          <c:h val="0.57827128212746992"/>
        </c:manualLayout>
      </c:layout>
      <c:barChart>
        <c:barDir val="col"/>
        <c:grouping val="clustered"/>
        <c:varyColors val="0"/>
        <c:ser>
          <c:idx val="0"/>
          <c:order val="0"/>
          <c:tx>
            <c:strRef>
              <c:f>'Use of Sunscreen'!$B$43</c:f>
              <c:strCache>
                <c:ptCount val="1"/>
                <c:pt idx="0">
                  <c:v>Male</c:v>
                </c:pt>
              </c:strCache>
            </c:strRef>
          </c:tx>
          <c:spPr>
            <a:solidFill>
              <a:srgbClr val="CC33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'Use of Sunscreen'!$A$44:$A$47</c:f>
              <c:strCache>
                <c:ptCount val="4"/>
                <c:pt idx="0">
                  <c:v>Sunbathing abroad in a warm country</c:v>
                </c:pt>
                <c:pt idx="1">
                  <c:v>Outdoors abroad but not sunbathing</c:v>
                </c:pt>
                <c:pt idx="2">
                  <c:v>Sunbathing in this country</c:v>
                </c:pt>
                <c:pt idx="3">
                  <c:v>Outdoors in this country but not sunbathing</c:v>
                </c:pt>
              </c:strCache>
            </c:strRef>
          </c:cat>
          <c:val>
            <c:numRef>
              <c:f>'Use of Sunscreen'!$B$44:$B$47</c:f>
              <c:numCache>
                <c:formatCode>0</c:formatCode>
                <c:ptCount val="4"/>
                <c:pt idx="0">
                  <c:v>80.251221181894863</c:v>
                </c:pt>
                <c:pt idx="1">
                  <c:v>67.345772523845127</c:v>
                </c:pt>
                <c:pt idx="2">
                  <c:v>50.434269317216049</c:v>
                </c:pt>
                <c:pt idx="3">
                  <c:v>45.768870143732009</c:v>
                </c:pt>
              </c:numCache>
            </c:numRef>
          </c:val>
        </c:ser>
        <c:ser>
          <c:idx val="1"/>
          <c:order val="1"/>
          <c:tx>
            <c:strRef>
              <c:f>'Use of Sunscreen'!$C$43</c:f>
              <c:strCache>
                <c:ptCount val="1"/>
                <c:pt idx="0">
                  <c:v>Female</c:v>
                </c:pt>
              </c:strCache>
            </c:strRef>
          </c:tx>
          <c:spPr>
            <a:solidFill>
              <a:srgbClr val="FFCC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'Use of Sunscreen'!$A$44:$A$47</c:f>
              <c:strCache>
                <c:ptCount val="4"/>
                <c:pt idx="0">
                  <c:v>Sunbathing abroad in a warm country</c:v>
                </c:pt>
                <c:pt idx="1">
                  <c:v>Outdoors abroad but not sunbathing</c:v>
                </c:pt>
                <c:pt idx="2">
                  <c:v>Sunbathing in this country</c:v>
                </c:pt>
                <c:pt idx="3">
                  <c:v>Outdoors in this country but not sunbathing</c:v>
                </c:pt>
              </c:strCache>
            </c:strRef>
          </c:cat>
          <c:val>
            <c:numRef>
              <c:f>'Use of Sunscreen'!$C$44:$C$47</c:f>
              <c:numCache>
                <c:formatCode>0</c:formatCode>
                <c:ptCount val="4"/>
                <c:pt idx="0">
                  <c:v>78.760113499688345</c:v>
                </c:pt>
                <c:pt idx="1">
                  <c:v>67.160262087246124</c:v>
                </c:pt>
                <c:pt idx="2">
                  <c:v>64.073818791058358</c:v>
                </c:pt>
                <c:pt idx="3">
                  <c:v>54.125840336009816</c:v>
                </c:pt>
              </c:numCache>
            </c:numRef>
          </c:val>
        </c:ser>
        <c:dLbls>
          <c:showLegendKey val="0"/>
          <c:showVal val="1"/>
          <c:showCatName val="0"/>
          <c:showSerName val="0"/>
          <c:showPercent val="0"/>
          <c:showBubbleSize val="0"/>
        </c:dLbls>
        <c:gapWidth val="150"/>
        <c:axId val="176606592"/>
        <c:axId val="176427776"/>
      </c:barChart>
      <c:catAx>
        <c:axId val="176606592"/>
        <c:scaling>
          <c:orientation val="minMax"/>
        </c:scaling>
        <c:delete val="0"/>
        <c:axPos val="b"/>
        <c:majorTickMark val="out"/>
        <c:minorTickMark val="none"/>
        <c:tickLblPos val="nextTo"/>
        <c:txPr>
          <a:bodyPr/>
          <a:lstStyle/>
          <a:p>
            <a:pPr>
              <a:defRPr sz="900"/>
            </a:pPr>
            <a:endParaRPr lang="en-US"/>
          </a:p>
        </c:txPr>
        <c:crossAx val="176427776"/>
        <c:crosses val="autoZero"/>
        <c:auto val="1"/>
        <c:lblAlgn val="ctr"/>
        <c:lblOffset val="100"/>
        <c:noMultiLvlLbl val="0"/>
      </c:catAx>
      <c:valAx>
        <c:axId val="176427776"/>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6606592"/>
        <c:crosses val="autoZero"/>
        <c:crossBetween val="between"/>
        <c:majorUnit val="20"/>
      </c:valAx>
    </c:plotArea>
    <c:legend>
      <c:legendPos val="b"/>
      <c:layout>
        <c:manualLayout>
          <c:xMode val="edge"/>
          <c:yMode val="edge"/>
          <c:x val="0.37647743055555588"/>
          <c:y val="0.90564690170940187"/>
          <c:w val="0.30560451388889498"/>
          <c:h val="9.06880341880342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000"/>
              <a:t>Number of Times Sunburn Experienced in Last Year by Age</a:t>
            </a:r>
          </a:p>
        </c:rich>
      </c:tx>
      <c:layout>
        <c:manualLayout>
          <c:xMode val="edge"/>
          <c:yMode val="edge"/>
          <c:x val="2.3553240740740817E-3"/>
          <c:y val="0"/>
        </c:manualLayout>
      </c:layout>
      <c:overlay val="0"/>
    </c:title>
    <c:autoTitleDeleted val="0"/>
    <c:plotArea>
      <c:layout>
        <c:manualLayout>
          <c:layoutTarget val="inner"/>
          <c:xMode val="edge"/>
          <c:yMode val="edge"/>
          <c:x val="9.7718602973786525E-2"/>
          <c:y val="0.11182534722222222"/>
          <c:w val="0.89974542418519221"/>
          <c:h val="0.71821284722222156"/>
        </c:manualLayout>
      </c:layout>
      <c:barChart>
        <c:barDir val="col"/>
        <c:grouping val="stacked"/>
        <c:varyColors val="0"/>
        <c:ser>
          <c:idx val="0"/>
          <c:order val="0"/>
          <c:tx>
            <c:strRef>
              <c:f>Sunburn!$A$14</c:f>
              <c:strCache>
                <c:ptCount val="1"/>
                <c:pt idx="0">
                  <c:v>None</c:v>
                </c:pt>
              </c:strCache>
            </c:strRef>
          </c:tx>
          <c:spPr>
            <a:solidFill>
              <a:srgbClr val="800000"/>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Sunburn!$Q$13:$W$13</c:f>
              <c:strCache>
                <c:ptCount val="7"/>
                <c:pt idx="0">
                  <c:v>16-24</c:v>
                </c:pt>
                <c:pt idx="1">
                  <c:v>25-34</c:v>
                </c:pt>
                <c:pt idx="2">
                  <c:v>35-44</c:v>
                </c:pt>
                <c:pt idx="3">
                  <c:v>45-54</c:v>
                </c:pt>
                <c:pt idx="4">
                  <c:v>55-64</c:v>
                </c:pt>
                <c:pt idx="5">
                  <c:v>65-74</c:v>
                </c:pt>
                <c:pt idx="6">
                  <c:v>75+</c:v>
                </c:pt>
              </c:strCache>
            </c:strRef>
          </c:cat>
          <c:val>
            <c:numRef>
              <c:f>Sunburn!$Q$14:$W$14</c:f>
              <c:numCache>
                <c:formatCode>0</c:formatCode>
                <c:ptCount val="7"/>
                <c:pt idx="0">
                  <c:v>56.82242628744082</c:v>
                </c:pt>
                <c:pt idx="1">
                  <c:v>71.262290004346127</c:v>
                </c:pt>
                <c:pt idx="2">
                  <c:v>82.123863192938359</c:v>
                </c:pt>
                <c:pt idx="3">
                  <c:v>84.020533938949143</c:v>
                </c:pt>
                <c:pt idx="4">
                  <c:v>91.171943235095512</c:v>
                </c:pt>
                <c:pt idx="5">
                  <c:v>94.079130237617449</c:v>
                </c:pt>
                <c:pt idx="6">
                  <c:v>98.164970734425467</c:v>
                </c:pt>
              </c:numCache>
            </c:numRef>
          </c:val>
        </c:ser>
        <c:ser>
          <c:idx val="1"/>
          <c:order val="1"/>
          <c:tx>
            <c:strRef>
              <c:f>Sunburn!$A$15</c:f>
              <c:strCache>
                <c:ptCount val="1"/>
                <c:pt idx="0">
                  <c:v>One</c:v>
                </c:pt>
              </c:strCache>
            </c:strRef>
          </c:tx>
          <c:spPr>
            <a:solidFill>
              <a:srgbClr val="CC3300"/>
            </a:solidFill>
          </c:spPr>
          <c:invertIfNegative val="0"/>
          <c:dLbls>
            <c:dLbl>
              <c:idx val="6"/>
              <c:delete val="1"/>
            </c:dLbl>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Sunburn!$Q$13:$W$13</c:f>
              <c:strCache>
                <c:ptCount val="7"/>
                <c:pt idx="0">
                  <c:v>16-24</c:v>
                </c:pt>
                <c:pt idx="1">
                  <c:v>25-34</c:v>
                </c:pt>
                <c:pt idx="2">
                  <c:v>35-44</c:v>
                </c:pt>
                <c:pt idx="3">
                  <c:v>45-54</c:v>
                </c:pt>
                <c:pt idx="4">
                  <c:v>55-64</c:v>
                </c:pt>
                <c:pt idx="5">
                  <c:v>65-74</c:v>
                </c:pt>
                <c:pt idx="6">
                  <c:v>75+</c:v>
                </c:pt>
              </c:strCache>
            </c:strRef>
          </c:cat>
          <c:val>
            <c:numRef>
              <c:f>Sunburn!$Q$15:$W$15</c:f>
              <c:numCache>
                <c:formatCode>0</c:formatCode>
                <c:ptCount val="7"/>
                <c:pt idx="0">
                  <c:v>32.00269184835259</c:v>
                </c:pt>
                <c:pt idx="1">
                  <c:v>22.282286992780541</c:v>
                </c:pt>
                <c:pt idx="2">
                  <c:v>13.222895645894598</c:v>
                </c:pt>
                <c:pt idx="3">
                  <c:v>12.119506321608776</c:v>
                </c:pt>
                <c:pt idx="4">
                  <c:v>6.2360629414948994</c:v>
                </c:pt>
                <c:pt idx="5">
                  <c:v>4.7272142212326855</c:v>
                </c:pt>
                <c:pt idx="6">
                  <c:v>1.3064812643800081</c:v>
                </c:pt>
              </c:numCache>
            </c:numRef>
          </c:val>
        </c:ser>
        <c:ser>
          <c:idx val="2"/>
          <c:order val="2"/>
          <c:tx>
            <c:strRef>
              <c:f>Sunburn!$A$16</c:f>
              <c:strCache>
                <c:ptCount val="1"/>
                <c:pt idx="0">
                  <c:v>Two or more times</c:v>
                </c:pt>
              </c:strCache>
            </c:strRef>
          </c:tx>
          <c:spPr>
            <a:solidFill>
              <a:srgbClr val="FFCC66"/>
            </a:solidFill>
          </c:spPr>
          <c:invertIfNegative val="0"/>
          <c:dLbls>
            <c:dLbl>
              <c:idx val="4"/>
              <c:delete val="1"/>
            </c:dLbl>
            <c:dLbl>
              <c:idx val="5"/>
              <c:delete val="1"/>
            </c:dLbl>
            <c:dLbl>
              <c:idx val="6"/>
              <c:delete val="1"/>
            </c:dLbl>
            <c:dLbl>
              <c:idx val="7"/>
              <c:delete val="1"/>
            </c:dLbl>
            <c:dLbl>
              <c:idx val="8"/>
              <c:delete val="1"/>
            </c:dLbl>
            <c:dLbl>
              <c:idx val="9"/>
              <c:delete val="1"/>
            </c:dLbl>
            <c:txPr>
              <a:bodyPr/>
              <a:lstStyle/>
              <a:p>
                <a:pPr>
                  <a:defRPr sz="900"/>
                </a:pPr>
                <a:endParaRPr lang="en-US"/>
              </a:p>
            </c:txPr>
            <c:dLblPos val="ctr"/>
            <c:showLegendKey val="0"/>
            <c:showVal val="1"/>
            <c:showCatName val="0"/>
            <c:showSerName val="0"/>
            <c:showPercent val="0"/>
            <c:showBubbleSize val="0"/>
            <c:showLeaderLines val="0"/>
          </c:dLbls>
          <c:cat>
            <c:strRef>
              <c:f>Sunburn!$Q$13:$W$13</c:f>
              <c:strCache>
                <c:ptCount val="7"/>
                <c:pt idx="0">
                  <c:v>16-24</c:v>
                </c:pt>
                <c:pt idx="1">
                  <c:v>25-34</c:v>
                </c:pt>
                <c:pt idx="2">
                  <c:v>35-44</c:v>
                </c:pt>
                <c:pt idx="3">
                  <c:v>45-54</c:v>
                </c:pt>
                <c:pt idx="4">
                  <c:v>55-64</c:v>
                </c:pt>
                <c:pt idx="5">
                  <c:v>65-74</c:v>
                </c:pt>
                <c:pt idx="6">
                  <c:v>75+</c:v>
                </c:pt>
              </c:strCache>
            </c:strRef>
          </c:cat>
          <c:val>
            <c:numRef>
              <c:f>Sunburn!$Q$16:$W$16</c:f>
              <c:numCache>
                <c:formatCode>0</c:formatCode>
                <c:ptCount val="7"/>
                <c:pt idx="0">
                  <c:v>11.1748818642067</c:v>
                </c:pt>
                <c:pt idx="1">
                  <c:v>6.4554230028739124</c:v>
                </c:pt>
                <c:pt idx="2">
                  <c:v>4.653241161167494</c:v>
                </c:pt>
                <c:pt idx="3">
                  <c:v>3.8599597394424121</c:v>
                </c:pt>
                <c:pt idx="4">
                  <c:v>2.5919938234093971</c:v>
                </c:pt>
                <c:pt idx="5">
                  <c:v>1.1936555411500935</c:v>
                </c:pt>
                <c:pt idx="6">
                  <c:v>0.52854800119315282</c:v>
                </c:pt>
              </c:numCache>
            </c:numRef>
          </c:val>
        </c:ser>
        <c:dLbls>
          <c:showLegendKey val="0"/>
          <c:showVal val="1"/>
          <c:showCatName val="0"/>
          <c:showSerName val="0"/>
          <c:showPercent val="0"/>
          <c:showBubbleSize val="0"/>
        </c:dLbls>
        <c:gapWidth val="70"/>
        <c:overlap val="100"/>
        <c:axId val="176599040"/>
        <c:axId val="176600576"/>
      </c:barChart>
      <c:catAx>
        <c:axId val="176599040"/>
        <c:scaling>
          <c:orientation val="minMax"/>
        </c:scaling>
        <c:delete val="0"/>
        <c:axPos val="b"/>
        <c:majorTickMark val="out"/>
        <c:minorTickMark val="none"/>
        <c:tickLblPos val="nextTo"/>
        <c:txPr>
          <a:bodyPr/>
          <a:lstStyle/>
          <a:p>
            <a:pPr>
              <a:defRPr sz="900"/>
            </a:pPr>
            <a:endParaRPr lang="en-US"/>
          </a:p>
        </c:txPr>
        <c:crossAx val="176600576"/>
        <c:crosses val="autoZero"/>
        <c:auto val="1"/>
        <c:lblAlgn val="ctr"/>
        <c:lblOffset val="100"/>
        <c:noMultiLvlLbl val="0"/>
      </c:catAx>
      <c:valAx>
        <c:axId val="176600576"/>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6599040"/>
        <c:crosses val="autoZero"/>
        <c:crossBetween val="between"/>
        <c:majorUnit val="20"/>
      </c:valAx>
    </c:plotArea>
    <c:legend>
      <c:legendPos val="b"/>
      <c:layout>
        <c:manualLayout>
          <c:xMode val="edge"/>
          <c:yMode val="edge"/>
          <c:x val="0"/>
          <c:y val="0.92467013888889915"/>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Opinion on Who Should Not Use Sunbeds by Deprivation</a:t>
            </a:r>
          </a:p>
        </c:rich>
      </c:tx>
      <c:layout>
        <c:manualLayout>
          <c:xMode val="edge"/>
          <c:yMode val="edge"/>
          <c:x val="5.9884259259258788E-4"/>
          <c:y val="0"/>
        </c:manualLayout>
      </c:layout>
      <c:overlay val="0"/>
    </c:title>
    <c:autoTitleDeleted val="0"/>
    <c:plotArea>
      <c:layout>
        <c:manualLayout>
          <c:layoutTarget val="inner"/>
          <c:xMode val="edge"/>
          <c:yMode val="edge"/>
          <c:x val="9.3757175925926084E-2"/>
          <c:y val="0.12779166666666669"/>
          <c:w val="0.89378958333333369"/>
          <c:h val="0.54226388888888888"/>
        </c:manualLayout>
      </c:layout>
      <c:barChart>
        <c:barDir val="col"/>
        <c:grouping val="clustered"/>
        <c:varyColors val="0"/>
        <c:ser>
          <c:idx val="0"/>
          <c:order val="0"/>
          <c:tx>
            <c:strRef>
              <c:f>Sunbeds!$B$64</c:f>
              <c:strCache>
                <c:ptCount val="1"/>
                <c:pt idx="0">
                  <c:v>Most Deprived</c:v>
                </c:pt>
              </c:strCache>
            </c:strRef>
          </c:tx>
          <c:spPr>
            <a:solidFill>
              <a:srgbClr val="CC33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Sunbeds!$A$65:$A$71</c:f>
              <c:strCache>
                <c:ptCount val="7"/>
                <c:pt idx="0">
                  <c:v>Children under 10</c:v>
                </c:pt>
                <c:pt idx="1">
                  <c:v>Young People under 18</c:v>
                </c:pt>
                <c:pt idx="2">
                  <c:v>Family history of skin cancer</c:v>
                </c:pt>
                <c:pt idx="3">
                  <c:v>Fair skin (burns easily/tans slowly)</c:v>
                </c:pt>
                <c:pt idx="4">
                  <c:v>Large number of moles</c:v>
                </c:pt>
                <c:pt idx="5">
                  <c:v>Many freckles and/or red hair</c:v>
                </c:pt>
                <c:pt idx="6">
                  <c:v>No-one should use sunbeds</c:v>
                </c:pt>
              </c:strCache>
            </c:strRef>
          </c:cat>
          <c:val>
            <c:numRef>
              <c:f>Sunbeds!$B$65:$B$71</c:f>
              <c:numCache>
                <c:formatCode>0</c:formatCode>
                <c:ptCount val="7"/>
                <c:pt idx="0">
                  <c:v>95.062330372602759</c:v>
                </c:pt>
                <c:pt idx="1">
                  <c:v>86.522065368694058</c:v>
                </c:pt>
                <c:pt idx="2">
                  <c:v>87.395894338950598</c:v>
                </c:pt>
                <c:pt idx="3">
                  <c:v>84.437300870346562</c:v>
                </c:pt>
                <c:pt idx="4">
                  <c:v>85.548662334025948</c:v>
                </c:pt>
                <c:pt idx="5">
                  <c:v>83.185806022608304</c:v>
                </c:pt>
                <c:pt idx="6">
                  <c:v>69.490816450108056</c:v>
                </c:pt>
              </c:numCache>
            </c:numRef>
          </c:val>
        </c:ser>
        <c:ser>
          <c:idx val="1"/>
          <c:order val="1"/>
          <c:tx>
            <c:strRef>
              <c:f>Sunbeds!$C$64</c:f>
              <c:strCache>
                <c:ptCount val="1"/>
                <c:pt idx="0">
                  <c:v>Least Deprived</c:v>
                </c:pt>
              </c:strCache>
            </c:strRef>
          </c:tx>
          <c:spPr>
            <a:solidFill>
              <a:srgbClr val="FFCC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Sunbeds!$A$65:$A$71</c:f>
              <c:strCache>
                <c:ptCount val="7"/>
                <c:pt idx="0">
                  <c:v>Children under 10</c:v>
                </c:pt>
                <c:pt idx="1">
                  <c:v>Young People under 18</c:v>
                </c:pt>
                <c:pt idx="2">
                  <c:v>Family history of skin cancer</c:v>
                </c:pt>
                <c:pt idx="3">
                  <c:v>Fair skin (burns easily/tans slowly)</c:v>
                </c:pt>
                <c:pt idx="4">
                  <c:v>Large number of moles</c:v>
                </c:pt>
                <c:pt idx="5">
                  <c:v>Many freckles and/or red hair</c:v>
                </c:pt>
                <c:pt idx="6">
                  <c:v>No-one should use sunbeds</c:v>
                </c:pt>
              </c:strCache>
            </c:strRef>
          </c:cat>
          <c:val>
            <c:numRef>
              <c:f>Sunbeds!$C$65:$C$71</c:f>
              <c:numCache>
                <c:formatCode>0</c:formatCode>
                <c:ptCount val="7"/>
                <c:pt idx="0">
                  <c:v>95.55064184327783</c:v>
                </c:pt>
                <c:pt idx="1">
                  <c:v>90.706975860058819</c:v>
                </c:pt>
                <c:pt idx="2">
                  <c:v>89.770276056762768</c:v>
                </c:pt>
                <c:pt idx="3">
                  <c:v>90.193486121250558</c:v>
                </c:pt>
                <c:pt idx="4">
                  <c:v>89.394235848108494</c:v>
                </c:pt>
                <c:pt idx="5">
                  <c:v>89.894984460424638</c:v>
                </c:pt>
                <c:pt idx="6">
                  <c:v>75.981750095723442</c:v>
                </c:pt>
              </c:numCache>
            </c:numRef>
          </c:val>
        </c:ser>
        <c:dLbls>
          <c:showLegendKey val="0"/>
          <c:showVal val="1"/>
          <c:showCatName val="0"/>
          <c:showSerName val="0"/>
          <c:showPercent val="0"/>
          <c:showBubbleSize val="0"/>
        </c:dLbls>
        <c:gapWidth val="150"/>
        <c:axId val="176672128"/>
        <c:axId val="176678016"/>
      </c:barChart>
      <c:catAx>
        <c:axId val="176672128"/>
        <c:scaling>
          <c:orientation val="minMax"/>
        </c:scaling>
        <c:delete val="0"/>
        <c:axPos val="b"/>
        <c:majorTickMark val="out"/>
        <c:minorTickMark val="none"/>
        <c:tickLblPos val="nextTo"/>
        <c:txPr>
          <a:bodyPr/>
          <a:lstStyle/>
          <a:p>
            <a:pPr>
              <a:defRPr sz="900"/>
            </a:pPr>
            <a:endParaRPr lang="en-US"/>
          </a:p>
        </c:txPr>
        <c:crossAx val="176678016"/>
        <c:crosses val="autoZero"/>
        <c:auto val="1"/>
        <c:lblAlgn val="ctr"/>
        <c:lblOffset val="100"/>
        <c:noMultiLvlLbl val="0"/>
      </c:catAx>
      <c:valAx>
        <c:axId val="176678016"/>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6672128"/>
        <c:crosses val="autoZero"/>
        <c:crossBetween val="between"/>
        <c:majorUnit val="20"/>
      </c:valAx>
    </c:plotArea>
    <c:legend>
      <c:legendPos val="b"/>
      <c:layout>
        <c:manualLayout>
          <c:xMode val="edge"/>
          <c:yMode val="edge"/>
          <c:x val="0.19608051098242921"/>
          <c:y val="0.9116086887214867"/>
          <c:w val="0.61829252702401982"/>
          <c:h val="8.472602981151722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Opinion</a:t>
            </a:r>
            <a:r>
              <a:rPr lang="en-GB" sz="1000" baseline="0"/>
              <a:t> on Who Should Not Use Sunbeds bt Selected Age-Group</a:t>
            </a:r>
            <a:endParaRPr lang="en-GB" sz="1000"/>
          </a:p>
        </c:rich>
      </c:tx>
      <c:layout>
        <c:manualLayout>
          <c:xMode val="edge"/>
          <c:yMode val="edge"/>
          <c:x val="2.749544626593809E-3"/>
          <c:y val="0"/>
        </c:manualLayout>
      </c:layout>
      <c:overlay val="0"/>
    </c:title>
    <c:autoTitleDeleted val="0"/>
    <c:plotArea>
      <c:layout>
        <c:manualLayout>
          <c:layoutTarget val="inner"/>
          <c:xMode val="edge"/>
          <c:yMode val="edge"/>
          <c:x val="8.2797900262467208E-2"/>
          <c:y val="0.12003252032520338"/>
          <c:w val="0.89515115022386904"/>
          <c:h val="0.56268224932249322"/>
        </c:manualLayout>
      </c:layout>
      <c:barChart>
        <c:barDir val="col"/>
        <c:grouping val="clustered"/>
        <c:varyColors val="0"/>
        <c:ser>
          <c:idx val="0"/>
          <c:order val="0"/>
          <c:tx>
            <c:strRef>
              <c:f>Sunbeds!$B$74</c:f>
              <c:strCache>
                <c:ptCount val="1"/>
                <c:pt idx="0">
                  <c:v>16-24</c:v>
                </c:pt>
              </c:strCache>
            </c:strRef>
          </c:tx>
          <c:spPr>
            <a:solidFill>
              <a:srgbClr val="CC33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Sunbeds!$A$75:$A$81</c:f>
              <c:strCache>
                <c:ptCount val="7"/>
                <c:pt idx="0">
                  <c:v>Children under 10</c:v>
                </c:pt>
                <c:pt idx="1">
                  <c:v>Young People under 18</c:v>
                </c:pt>
                <c:pt idx="2">
                  <c:v>Family history of skin cancer</c:v>
                </c:pt>
                <c:pt idx="3">
                  <c:v>Fair skin (burns easily/tans slowly)</c:v>
                </c:pt>
                <c:pt idx="4">
                  <c:v>Large number of moles</c:v>
                </c:pt>
                <c:pt idx="5">
                  <c:v>Many freckles and/or red hair</c:v>
                </c:pt>
                <c:pt idx="6">
                  <c:v>No-one should use sunbeds</c:v>
                </c:pt>
              </c:strCache>
            </c:strRef>
          </c:cat>
          <c:val>
            <c:numRef>
              <c:f>Sunbeds!$B$75:$B$81</c:f>
              <c:numCache>
                <c:formatCode>0</c:formatCode>
                <c:ptCount val="7"/>
                <c:pt idx="0">
                  <c:v>92.502508601646852</c:v>
                </c:pt>
                <c:pt idx="1">
                  <c:v>81.58438292739298</c:v>
                </c:pt>
                <c:pt idx="2">
                  <c:v>83.963707350480064</c:v>
                </c:pt>
                <c:pt idx="3">
                  <c:v>79.067713297925295</c:v>
                </c:pt>
                <c:pt idx="4">
                  <c:v>76.990981479852806</c:v>
                </c:pt>
                <c:pt idx="5">
                  <c:v>74.216976470390861</c:v>
                </c:pt>
                <c:pt idx="6">
                  <c:v>53.437549164159321</c:v>
                </c:pt>
              </c:numCache>
            </c:numRef>
          </c:val>
        </c:ser>
        <c:ser>
          <c:idx val="1"/>
          <c:order val="1"/>
          <c:tx>
            <c:strRef>
              <c:f>Sunbeds!$C$74</c:f>
              <c:strCache>
                <c:ptCount val="1"/>
                <c:pt idx="0">
                  <c:v>65-74</c:v>
                </c:pt>
              </c:strCache>
            </c:strRef>
          </c:tx>
          <c:spPr>
            <a:solidFill>
              <a:srgbClr val="FFCC66"/>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Sunbeds!$A$75:$A$81</c:f>
              <c:strCache>
                <c:ptCount val="7"/>
                <c:pt idx="0">
                  <c:v>Children under 10</c:v>
                </c:pt>
                <c:pt idx="1">
                  <c:v>Young People under 18</c:v>
                </c:pt>
                <c:pt idx="2">
                  <c:v>Family history of skin cancer</c:v>
                </c:pt>
                <c:pt idx="3">
                  <c:v>Fair skin (burns easily/tans slowly)</c:v>
                </c:pt>
                <c:pt idx="4">
                  <c:v>Large number of moles</c:v>
                </c:pt>
                <c:pt idx="5">
                  <c:v>Many freckles and/or red hair</c:v>
                </c:pt>
                <c:pt idx="6">
                  <c:v>No-one should use sunbeds</c:v>
                </c:pt>
              </c:strCache>
            </c:strRef>
          </c:cat>
          <c:val>
            <c:numRef>
              <c:f>Sunbeds!$C$75:$C$81</c:f>
              <c:numCache>
                <c:formatCode>0</c:formatCode>
                <c:ptCount val="7"/>
                <c:pt idx="0">
                  <c:v>96.245653114211777</c:v>
                </c:pt>
                <c:pt idx="1">
                  <c:v>92.952779305725613</c:v>
                </c:pt>
                <c:pt idx="2">
                  <c:v>92.680939688151454</c:v>
                </c:pt>
                <c:pt idx="3">
                  <c:v>94.250693598543492</c:v>
                </c:pt>
                <c:pt idx="4">
                  <c:v>91.978907464039708</c:v>
                </c:pt>
                <c:pt idx="5">
                  <c:v>93.090620901588366</c:v>
                </c:pt>
                <c:pt idx="6">
                  <c:v>87.363491893477658</c:v>
                </c:pt>
              </c:numCache>
            </c:numRef>
          </c:val>
        </c:ser>
        <c:dLbls>
          <c:showLegendKey val="0"/>
          <c:showVal val="1"/>
          <c:showCatName val="0"/>
          <c:showSerName val="0"/>
          <c:showPercent val="0"/>
          <c:showBubbleSize val="0"/>
        </c:dLbls>
        <c:gapWidth val="150"/>
        <c:axId val="177744896"/>
        <c:axId val="177787648"/>
      </c:barChart>
      <c:catAx>
        <c:axId val="177744896"/>
        <c:scaling>
          <c:orientation val="minMax"/>
        </c:scaling>
        <c:delete val="0"/>
        <c:axPos val="b"/>
        <c:majorTickMark val="out"/>
        <c:minorTickMark val="none"/>
        <c:tickLblPos val="nextTo"/>
        <c:txPr>
          <a:bodyPr/>
          <a:lstStyle/>
          <a:p>
            <a:pPr>
              <a:defRPr sz="900"/>
            </a:pPr>
            <a:endParaRPr lang="en-US"/>
          </a:p>
        </c:txPr>
        <c:crossAx val="177787648"/>
        <c:crosses val="autoZero"/>
        <c:auto val="1"/>
        <c:lblAlgn val="ctr"/>
        <c:lblOffset val="100"/>
        <c:noMultiLvlLbl val="0"/>
      </c:catAx>
      <c:valAx>
        <c:axId val="177787648"/>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7744896"/>
        <c:crosses val="autoZero"/>
        <c:crossBetween val="between"/>
        <c:majorUnit val="20"/>
      </c:valAx>
    </c:plotArea>
    <c:legend>
      <c:legendPos val="b"/>
      <c:layout>
        <c:manualLayout>
          <c:xMode val="edge"/>
          <c:yMode val="edge"/>
          <c:x val="0.37647743055555588"/>
          <c:y val="0.92497142006378485"/>
          <c:w val="0.30560451388889487"/>
          <c:h val="7.136329846923081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Awareness of STIs</a:t>
            </a:r>
          </a:p>
        </c:rich>
      </c:tx>
      <c:layout>
        <c:manualLayout>
          <c:xMode val="edge"/>
          <c:yMode val="edge"/>
          <c:x val="2.3158151742660228E-3"/>
          <c:y val="0"/>
        </c:manualLayout>
      </c:layout>
      <c:overlay val="0"/>
    </c:title>
    <c:autoTitleDeleted val="0"/>
    <c:plotArea>
      <c:layout>
        <c:manualLayout>
          <c:layoutTarget val="inner"/>
          <c:xMode val="edge"/>
          <c:yMode val="edge"/>
          <c:x val="7.317883379247006E-2"/>
          <c:y val="0.15156628787878842"/>
          <c:w val="0.91456083562901769"/>
          <c:h val="0.52234214092140696"/>
        </c:manualLayout>
      </c:layout>
      <c:barChart>
        <c:barDir val="col"/>
        <c:grouping val="clustered"/>
        <c:varyColors val="0"/>
        <c:ser>
          <c:idx val="0"/>
          <c:order val="0"/>
          <c:tx>
            <c:strRef>
              <c:f>'SH Awareness'!$B$3</c:f>
              <c:strCache>
                <c:ptCount val="1"/>
                <c:pt idx="0">
                  <c:v>Overall</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 Awareness'!$A$4:$A$9</c:f>
              <c:strCache>
                <c:ptCount val="6"/>
                <c:pt idx="0">
                  <c:v>Aware of Chlamydia</c:v>
                </c:pt>
                <c:pt idx="1">
                  <c:v>Aware of Syphilis</c:v>
                </c:pt>
                <c:pt idx="2">
                  <c:v>Aware of Gonorrhoea</c:v>
                </c:pt>
                <c:pt idx="3">
                  <c:v>Aware of Genital Warts</c:v>
                </c:pt>
                <c:pt idx="4">
                  <c:v>Aware of Genital Herpes</c:v>
                </c:pt>
                <c:pt idx="5">
                  <c:v>Aware of HIV / AIDS</c:v>
                </c:pt>
              </c:strCache>
            </c:strRef>
          </c:cat>
          <c:val>
            <c:numRef>
              <c:f>'SH Awareness'!$B$4:$B$9</c:f>
              <c:numCache>
                <c:formatCode>0</c:formatCode>
                <c:ptCount val="6"/>
                <c:pt idx="0">
                  <c:v>74.363203075098227</c:v>
                </c:pt>
                <c:pt idx="1">
                  <c:v>74.844782611476049</c:v>
                </c:pt>
                <c:pt idx="2">
                  <c:v>74.961908913632328</c:v>
                </c:pt>
                <c:pt idx="3">
                  <c:v>74.972026353003358</c:v>
                </c:pt>
                <c:pt idx="4">
                  <c:v>79.736628026941972</c:v>
                </c:pt>
                <c:pt idx="5">
                  <c:v>88.222226561159786</c:v>
                </c:pt>
              </c:numCache>
            </c:numRef>
          </c:val>
        </c:ser>
        <c:dLbls>
          <c:showLegendKey val="0"/>
          <c:showVal val="0"/>
          <c:showCatName val="0"/>
          <c:showSerName val="0"/>
          <c:showPercent val="0"/>
          <c:showBubbleSize val="0"/>
        </c:dLbls>
        <c:gapWidth val="150"/>
        <c:axId val="177800704"/>
        <c:axId val="177802240"/>
      </c:barChart>
      <c:catAx>
        <c:axId val="177800704"/>
        <c:scaling>
          <c:orientation val="minMax"/>
        </c:scaling>
        <c:delete val="0"/>
        <c:axPos val="b"/>
        <c:majorTickMark val="out"/>
        <c:minorTickMark val="none"/>
        <c:tickLblPos val="nextTo"/>
        <c:txPr>
          <a:bodyPr/>
          <a:lstStyle/>
          <a:p>
            <a:pPr>
              <a:defRPr sz="900"/>
            </a:pPr>
            <a:endParaRPr lang="en-US"/>
          </a:p>
        </c:txPr>
        <c:crossAx val="177802240"/>
        <c:crosses val="autoZero"/>
        <c:auto val="1"/>
        <c:lblAlgn val="ctr"/>
        <c:lblOffset val="100"/>
        <c:noMultiLvlLbl val="0"/>
      </c:catAx>
      <c:valAx>
        <c:axId val="17780224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7800704"/>
        <c:crosses val="autoZero"/>
        <c:crossBetween val="between"/>
        <c:majorUnit val="20"/>
      </c:valAx>
    </c:plotArea>
    <c:plotVisOnly val="1"/>
    <c:dispBlanksAs val="gap"/>
    <c:showDLblsOverMax val="0"/>
  </c:chart>
  <c:spPr>
    <a:ln>
      <a:noFill/>
    </a:ln>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a:pPr>
            <a:r>
              <a:rPr lang="en-GB" sz="1000"/>
              <a:t>Sexual Health Questions Scores</a:t>
            </a:r>
          </a:p>
        </c:rich>
      </c:tx>
      <c:layout>
        <c:manualLayout>
          <c:xMode val="edge"/>
          <c:yMode val="edge"/>
          <c:x val="7.3600174978129024E-4"/>
          <c:y val="4.6296296296297014E-3"/>
        </c:manualLayout>
      </c:layout>
      <c:overlay val="0"/>
    </c:title>
    <c:autoTitleDeleted val="0"/>
    <c:plotArea>
      <c:layout>
        <c:manualLayout>
          <c:layoutTarget val="inner"/>
          <c:xMode val="edge"/>
          <c:yMode val="edge"/>
          <c:x val="9.0253703703703683E-2"/>
          <c:y val="8.8867973856209745E-2"/>
          <c:w val="0.90974629629630421"/>
          <c:h val="0.69259361111111162"/>
        </c:manualLayout>
      </c:layout>
      <c:barChart>
        <c:barDir val="col"/>
        <c:grouping val="stacked"/>
        <c:varyColors val="0"/>
        <c:ser>
          <c:idx val="0"/>
          <c:order val="0"/>
          <c:tx>
            <c:strRef>
              <c:f>'SH Scores'!$A$82</c:f>
              <c:strCache>
                <c:ptCount val="1"/>
                <c:pt idx="0">
                  <c:v>Questions not attempted</c:v>
                </c:pt>
              </c:strCache>
            </c:strRef>
          </c:tx>
          <c:spPr>
            <a:solidFill>
              <a:schemeClr val="accent2">
                <a:lumMod val="50000"/>
              </a:schemeClr>
            </a:solidFill>
            <a:ln w="3175">
              <a:noFill/>
            </a:ln>
          </c:spPr>
          <c:invertIfNegative val="0"/>
          <c:dLbls>
            <c:txPr>
              <a:bodyPr/>
              <a:lstStyle/>
              <a:p>
                <a:pPr>
                  <a:defRPr sz="800">
                    <a:solidFill>
                      <a:schemeClr val="bg2"/>
                    </a:solidFill>
                  </a:defRPr>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Scores'!$B$82:$G$82</c:f>
              <c:numCache>
                <c:formatCode>0</c:formatCode>
                <c:ptCount val="6"/>
                <c:pt idx="0">
                  <c:v>10.591752505976222</c:v>
                </c:pt>
                <c:pt idx="1">
                  <c:v>13.112826793752848</c:v>
                </c:pt>
                <c:pt idx="2">
                  <c:v>17.209482371579519</c:v>
                </c:pt>
                <c:pt idx="3">
                  <c:v>13.386522312764871</c:v>
                </c:pt>
                <c:pt idx="4">
                  <c:v>42.110628830599502</c:v>
                </c:pt>
                <c:pt idx="5">
                  <c:v>9.002091450273193</c:v>
                </c:pt>
              </c:numCache>
            </c:numRef>
          </c:val>
        </c:ser>
        <c:ser>
          <c:idx val="1"/>
          <c:order val="1"/>
          <c:tx>
            <c:strRef>
              <c:f>'SH Scores'!$A$83</c:f>
              <c:strCache>
                <c:ptCount val="1"/>
                <c:pt idx="0">
                  <c:v>Zero correct</c:v>
                </c:pt>
              </c:strCache>
            </c:strRef>
          </c:tx>
          <c:spPr>
            <a:solidFill>
              <a:schemeClr val="accent2">
                <a:lumMod val="75000"/>
              </a:schemeClr>
            </a:solidFill>
            <a:ln w="3175">
              <a:noFill/>
            </a:ln>
          </c:spPr>
          <c:invertIfNegative val="0"/>
          <c:dLbls>
            <c:dLbl>
              <c:idx val="0"/>
              <c:delete val="1"/>
            </c:dLbl>
            <c:dLbl>
              <c:idx val="1"/>
              <c:delete val="1"/>
            </c:dLbl>
            <c:dLbl>
              <c:idx val="2"/>
              <c:delete val="1"/>
            </c:dLbl>
            <c:dLbl>
              <c:idx val="3"/>
              <c:delete val="1"/>
            </c:dLbl>
            <c:dLbl>
              <c:idx val="4"/>
              <c:spPr/>
              <c:txPr>
                <a:bodyPr/>
                <a:lstStyle/>
                <a:p>
                  <a:pPr>
                    <a:defRPr sz="800" b="0">
                      <a:solidFill>
                        <a:schemeClr val="bg1"/>
                      </a:solidFill>
                    </a:defRPr>
                  </a:pPr>
                  <a:endParaRPr lang="en-US"/>
                </a:p>
              </c:txPr>
              <c:dLblPos val="ctr"/>
              <c:showLegendKey val="0"/>
              <c:showVal val="1"/>
              <c:showCatName val="0"/>
              <c:showSerName val="0"/>
              <c:showPercent val="0"/>
              <c:showBubbleSize val="0"/>
            </c:dLbl>
            <c:dLbl>
              <c:idx val="5"/>
              <c:delete val="1"/>
            </c:dLbl>
            <c:txPr>
              <a:bodyPr/>
              <a:lstStyle/>
              <a:p>
                <a:pPr>
                  <a:defRPr sz="900" b="0">
                    <a:solidFill>
                      <a:schemeClr val="bg1"/>
                    </a:solidFill>
                  </a:defRPr>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Scores'!$B$83:$G$83</c:f>
              <c:numCache>
                <c:formatCode>0</c:formatCode>
                <c:ptCount val="6"/>
                <c:pt idx="0">
                  <c:v>1.7195292959428115</c:v>
                </c:pt>
                <c:pt idx="1">
                  <c:v>0.84509073739220064</c:v>
                </c:pt>
                <c:pt idx="2">
                  <c:v>2.6770744544602358</c:v>
                </c:pt>
                <c:pt idx="3">
                  <c:v>2.2821451114751561</c:v>
                </c:pt>
                <c:pt idx="4">
                  <c:v>16.146331934616377</c:v>
                </c:pt>
                <c:pt idx="5">
                  <c:v>1.3467130512413021</c:v>
                </c:pt>
              </c:numCache>
            </c:numRef>
          </c:val>
        </c:ser>
        <c:ser>
          <c:idx val="2"/>
          <c:order val="2"/>
          <c:tx>
            <c:strRef>
              <c:f>'SH Scores'!$A$84</c:f>
              <c:strCache>
                <c:ptCount val="1"/>
                <c:pt idx="0">
                  <c:v>One correct</c:v>
                </c:pt>
              </c:strCache>
            </c:strRef>
          </c:tx>
          <c:spPr>
            <a:solidFill>
              <a:schemeClr val="accent2"/>
            </a:solidFill>
            <a:ln>
              <a:noFill/>
            </a:ln>
          </c:spPr>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Scores'!$B$84:$G$84</c:f>
              <c:numCache>
                <c:formatCode>0</c:formatCode>
                <c:ptCount val="6"/>
                <c:pt idx="0">
                  <c:v>9.7606377988698725</c:v>
                </c:pt>
                <c:pt idx="1">
                  <c:v>20.984407274721381</c:v>
                </c:pt>
                <c:pt idx="2">
                  <c:v>24.435421144279086</c:v>
                </c:pt>
                <c:pt idx="3">
                  <c:v>11.662230259511476</c:v>
                </c:pt>
                <c:pt idx="4">
                  <c:v>23.294658389134568</c:v>
                </c:pt>
                <c:pt idx="5">
                  <c:v>22.316570428009076</c:v>
                </c:pt>
              </c:numCache>
            </c:numRef>
          </c:val>
        </c:ser>
        <c:ser>
          <c:idx val="3"/>
          <c:order val="3"/>
          <c:tx>
            <c:strRef>
              <c:f>'SH Scores'!$A$85</c:f>
              <c:strCache>
                <c:ptCount val="1"/>
                <c:pt idx="0">
                  <c:v>Two correct</c:v>
                </c:pt>
              </c:strCache>
            </c:strRef>
          </c:tx>
          <c:spPr>
            <a:solidFill>
              <a:schemeClr val="accent2">
                <a:lumMod val="60000"/>
                <a:lumOff val="40000"/>
              </a:schemeClr>
            </a:solidFill>
            <a:ln>
              <a:noFill/>
            </a:ln>
          </c:spPr>
          <c:invertIfNegative val="0"/>
          <c:dLbls>
            <c:spPr>
              <a:ln>
                <a:noFill/>
              </a:ln>
            </c:spPr>
            <c:txPr>
              <a:bodyPr/>
              <a:lstStyle/>
              <a:p>
                <a:pPr>
                  <a:defRPr sz="800"/>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Scores'!$B$85:$G$85</c:f>
              <c:numCache>
                <c:formatCode>0</c:formatCode>
                <c:ptCount val="6"/>
                <c:pt idx="0">
                  <c:v>16.958839528061489</c:v>
                </c:pt>
                <c:pt idx="1">
                  <c:v>23.770419795950787</c:v>
                </c:pt>
                <c:pt idx="2">
                  <c:v>33.625335252535017</c:v>
                </c:pt>
                <c:pt idx="3">
                  <c:v>19.916909026987152</c:v>
                </c:pt>
                <c:pt idx="4">
                  <c:v>12.660012748286773</c:v>
                </c:pt>
                <c:pt idx="5">
                  <c:v>47.226508938009665</c:v>
                </c:pt>
              </c:numCache>
            </c:numRef>
          </c:val>
        </c:ser>
        <c:ser>
          <c:idx val="4"/>
          <c:order val="4"/>
          <c:tx>
            <c:strRef>
              <c:f>'SH Scores'!$A$86</c:f>
              <c:strCache>
                <c:ptCount val="1"/>
                <c:pt idx="0">
                  <c:v>Three correct</c:v>
                </c:pt>
              </c:strCache>
            </c:strRef>
          </c:tx>
          <c:spPr>
            <a:solidFill>
              <a:schemeClr val="accent2">
                <a:lumMod val="40000"/>
                <a:lumOff val="60000"/>
              </a:schemeClr>
            </a:solidFill>
            <a:ln>
              <a:noFill/>
            </a:ln>
          </c:spPr>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Scores'!$B$86:$G$86</c:f>
              <c:numCache>
                <c:formatCode>0</c:formatCode>
                <c:ptCount val="6"/>
                <c:pt idx="0">
                  <c:v>29.552724154212491</c:v>
                </c:pt>
                <c:pt idx="1">
                  <c:v>23.588572173440859</c:v>
                </c:pt>
                <c:pt idx="2">
                  <c:v>18.225907385927115</c:v>
                </c:pt>
                <c:pt idx="3">
                  <c:v>40.206899886241821</c:v>
                </c:pt>
                <c:pt idx="4">
                  <c:v>5.7883680973628131</c:v>
                </c:pt>
                <c:pt idx="5">
                  <c:v>17.176939127373902</c:v>
                </c:pt>
              </c:numCache>
            </c:numRef>
          </c:val>
        </c:ser>
        <c:ser>
          <c:idx val="5"/>
          <c:order val="5"/>
          <c:tx>
            <c:strRef>
              <c:f>'SH Scores'!$A$87</c:f>
              <c:strCache>
                <c:ptCount val="1"/>
                <c:pt idx="0">
                  <c:v>Four correct</c:v>
                </c:pt>
              </c:strCache>
            </c:strRef>
          </c:tx>
          <c:spPr>
            <a:solidFill>
              <a:schemeClr val="accent2">
                <a:lumMod val="20000"/>
                <a:lumOff val="80000"/>
              </a:schemeClr>
            </a:solidFill>
            <a:ln>
              <a:noFill/>
            </a:ln>
          </c:spPr>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 Scores'!$B$81:$G$81</c:f>
              <c:strCache>
                <c:ptCount val="6"/>
                <c:pt idx="0">
                  <c:v>Chlamydia</c:v>
                </c:pt>
                <c:pt idx="1">
                  <c:v>Gonorrhoea</c:v>
                </c:pt>
                <c:pt idx="2">
                  <c:v>Syphilis</c:v>
                </c:pt>
                <c:pt idx="3">
                  <c:v>Genital Herpes</c:v>
                </c:pt>
                <c:pt idx="4">
                  <c:v>Genital Warts</c:v>
                </c:pt>
                <c:pt idx="5">
                  <c:v>HIV/AIDS</c:v>
                </c:pt>
              </c:strCache>
            </c:strRef>
          </c:cat>
          <c:val>
            <c:numRef>
              <c:f>'SH Scores'!$B$87:$G$87</c:f>
              <c:numCache>
                <c:formatCode>0</c:formatCode>
                <c:ptCount val="6"/>
                <c:pt idx="0">
                  <c:v>31.416516716936972</c:v>
                </c:pt>
                <c:pt idx="1">
                  <c:v>17.698683224740886</c:v>
                </c:pt>
                <c:pt idx="2">
                  <c:v>3.8267793912191577</c:v>
                </c:pt>
                <c:pt idx="3">
                  <c:v>12.545293403019699</c:v>
                </c:pt>
                <c:pt idx="5">
                  <c:v>2.9311770050942467</c:v>
                </c:pt>
              </c:numCache>
            </c:numRef>
          </c:val>
        </c:ser>
        <c:dLbls>
          <c:showLegendKey val="0"/>
          <c:showVal val="1"/>
          <c:showCatName val="0"/>
          <c:showSerName val="0"/>
          <c:showPercent val="0"/>
          <c:showBubbleSize val="0"/>
        </c:dLbls>
        <c:gapWidth val="70"/>
        <c:overlap val="100"/>
        <c:axId val="177891200"/>
        <c:axId val="177892736"/>
      </c:barChart>
      <c:catAx>
        <c:axId val="177891200"/>
        <c:scaling>
          <c:orientation val="minMax"/>
        </c:scaling>
        <c:delete val="0"/>
        <c:axPos val="b"/>
        <c:majorTickMark val="out"/>
        <c:minorTickMark val="none"/>
        <c:tickLblPos val="nextTo"/>
        <c:txPr>
          <a:bodyPr/>
          <a:lstStyle/>
          <a:p>
            <a:pPr>
              <a:defRPr sz="900"/>
            </a:pPr>
            <a:endParaRPr lang="en-US"/>
          </a:p>
        </c:txPr>
        <c:crossAx val="177892736"/>
        <c:crosses val="autoZero"/>
        <c:auto val="1"/>
        <c:lblAlgn val="ctr"/>
        <c:lblOffset val="100"/>
        <c:noMultiLvlLbl val="0"/>
      </c:catAx>
      <c:valAx>
        <c:axId val="177892736"/>
        <c:scaling>
          <c:orientation val="minMax"/>
          <c:max val="100"/>
        </c:scaling>
        <c:delete val="0"/>
        <c:axPos val="l"/>
        <c:title>
          <c:tx>
            <c:rich>
              <a:bodyPr rot="0" vert="horz"/>
              <a:lstStyle/>
              <a:p>
                <a:pPr>
                  <a:defRPr sz="900"/>
                </a:pPr>
                <a:r>
                  <a:rPr lang="en-US" sz="900"/>
                  <a:t>%</a:t>
                </a:r>
              </a:p>
            </c:rich>
          </c:tx>
          <c:overlay val="0"/>
        </c:title>
        <c:numFmt formatCode="General" sourceLinked="0"/>
        <c:majorTickMark val="out"/>
        <c:minorTickMark val="none"/>
        <c:tickLblPos val="nextTo"/>
        <c:txPr>
          <a:bodyPr/>
          <a:lstStyle/>
          <a:p>
            <a:pPr>
              <a:defRPr sz="900"/>
            </a:pPr>
            <a:endParaRPr lang="en-US"/>
          </a:p>
        </c:txPr>
        <c:crossAx val="177891200"/>
        <c:crosses val="autoZero"/>
        <c:crossBetween val="between"/>
        <c:majorUnit val="20"/>
      </c:valAx>
    </c:plotArea>
    <c:legend>
      <c:legendPos val="b"/>
      <c:layout>
        <c:manualLayout>
          <c:xMode val="edge"/>
          <c:yMode val="edge"/>
          <c:x val="0"/>
          <c:y val="0.88708583333333413"/>
          <c:w val="0.99633817799206703"/>
          <c:h val="0.10865527777777791"/>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Overall Sexual Health Questions Scores</a:t>
            </a:r>
          </a:p>
        </c:rich>
      </c:tx>
      <c:layout>
        <c:manualLayout>
          <c:xMode val="edge"/>
          <c:yMode val="edge"/>
          <c:x val="2.3158151742660228E-3"/>
          <c:y val="0"/>
        </c:manualLayout>
      </c:layout>
      <c:overlay val="0"/>
    </c:title>
    <c:autoTitleDeleted val="0"/>
    <c:plotArea>
      <c:layout>
        <c:manualLayout>
          <c:layoutTarget val="inner"/>
          <c:xMode val="edge"/>
          <c:yMode val="edge"/>
          <c:x val="8.5484523685640648E-2"/>
          <c:y val="0.12000515873015882"/>
          <c:w val="0.90845167481818145"/>
          <c:h val="0.67561507936508081"/>
        </c:manualLayout>
      </c:layout>
      <c:barChart>
        <c:barDir val="col"/>
        <c:grouping val="clustered"/>
        <c:varyColors val="0"/>
        <c:ser>
          <c:idx val="0"/>
          <c:order val="0"/>
          <c:tx>
            <c:strRef>
              <c:f>'Overall Scores'!$B$3</c:f>
              <c:strCache>
                <c:ptCount val="1"/>
                <c:pt idx="0">
                  <c:v>Overall</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'Overall Scores'!$A$4:$A$9</c:f>
              <c:strCache>
                <c:ptCount val="6"/>
                <c:pt idx="0">
                  <c:v>Not aware of any STIs</c:v>
                </c:pt>
                <c:pt idx="1">
                  <c:v>0 Correct</c:v>
                </c:pt>
                <c:pt idx="2">
                  <c:v>1-5 Correct</c:v>
                </c:pt>
                <c:pt idx="3">
                  <c:v>6-10 Correct</c:v>
                </c:pt>
                <c:pt idx="4">
                  <c:v>11-15 Correct</c:v>
                </c:pt>
                <c:pt idx="5">
                  <c:v>16+ Correct</c:v>
                </c:pt>
              </c:strCache>
            </c:strRef>
          </c:cat>
          <c:val>
            <c:numRef>
              <c:f>'Overall Scores'!$B$4:$B$9</c:f>
              <c:numCache>
                <c:formatCode>0</c:formatCode>
                <c:ptCount val="6"/>
                <c:pt idx="0">
                  <c:v>7.6484198483491745</c:v>
                </c:pt>
                <c:pt idx="1">
                  <c:v>3.5026374441089843</c:v>
                </c:pt>
                <c:pt idx="2">
                  <c:v>22.643464559997401</c:v>
                </c:pt>
                <c:pt idx="3">
                  <c:v>26.321585034946246</c:v>
                </c:pt>
                <c:pt idx="4">
                  <c:v>26.763312218338708</c:v>
                </c:pt>
                <c:pt idx="5">
                  <c:v>12.733527427984937</c:v>
                </c:pt>
              </c:numCache>
            </c:numRef>
          </c:val>
        </c:ser>
        <c:dLbls>
          <c:showLegendKey val="0"/>
          <c:showVal val="0"/>
          <c:showCatName val="0"/>
          <c:showSerName val="0"/>
          <c:showPercent val="0"/>
          <c:showBubbleSize val="0"/>
        </c:dLbls>
        <c:gapWidth val="150"/>
        <c:axId val="177934720"/>
        <c:axId val="177936256"/>
      </c:barChart>
      <c:catAx>
        <c:axId val="177934720"/>
        <c:scaling>
          <c:orientation val="minMax"/>
        </c:scaling>
        <c:delete val="0"/>
        <c:axPos val="b"/>
        <c:majorTickMark val="out"/>
        <c:minorTickMark val="none"/>
        <c:tickLblPos val="nextTo"/>
        <c:txPr>
          <a:bodyPr/>
          <a:lstStyle/>
          <a:p>
            <a:pPr>
              <a:defRPr sz="900"/>
            </a:pPr>
            <a:endParaRPr lang="en-US"/>
          </a:p>
        </c:txPr>
        <c:crossAx val="177936256"/>
        <c:crosses val="autoZero"/>
        <c:auto val="1"/>
        <c:lblAlgn val="ctr"/>
        <c:lblOffset val="100"/>
        <c:noMultiLvlLbl val="0"/>
      </c:catAx>
      <c:valAx>
        <c:axId val="177936256"/>
        <c:scaling>
          <c:orientation val="minMax"/>
          <c:max val="3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7934720"/>
        <c:crosses val="autoZero"/>
        <c:crossBetween val="between"/>
        <c:majorUnit val="1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Health compared with 12</a:t>
            </a:r>
            <a:r>
              <a:rPr lang="en-GB" sz="1000" baseline="0"/>
              <a:t> months ago</a:t>
            </a:r>
            <a:endParaRPr lang="en-GB" sz="1000"/>
          </a:p>
        </c:rich>
      </c:tx>
      <c:layout>
        <c:manualLayout>
          <c:xMode val="edge"/>
          <c:yMode val="edge"/>
          <c:x val="2.3158151742660228E-3"/>
          <c:y val="0"/>
        </c:manualLayout>
      </c:layout>
      <c:overlay val="0"/>
    </c:title>
    <c:autoTitleDeleted val="0"/>
    <c:plotArea>
      <c:layout>
        <c:manualLayout>
          <c:layoutTarget val="inner"/>
          <c:xMode val="edge"/>
          <c:yMode val="edge"/>
          <c:x val="0.11813064119336182"/>
          <c:y val="0.16532692307692309"/>
          <c:w val="0.85952262236813826"/>
          <c:h val="0.68408031400966152"/>
        </c:manualLayout>
      </c:layout>
      <c:barChart>
        <c:barDir val="col"/>
        <c:grouping val="clustered"/>
        <c:varyColors val="0"/>
        <c:ser>
          <c:idx val="0"/>
          <c:order val="0"/>
          <c:tx>
            <c:strRef>
              <c:f>'Health compared with year ago'!$B$33</c:f>
              <c:strCache>
                <c:ptCount val="1"/>
                <c:pt idx="0">
                  <c:v>Overall</c:v>
                </c:pt>
              </c:strCache>
            </c:strRef>
          </c:tx>
          <c:spPr>
            <a:solidFill>
              <a:srgbClr val="4F81B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'Health compared with year ago'!$A$34:$A$36</c:f>
              <c:strCache>
                <c:ptCount val="3"/>
                <c:pt idx="0">
                  <c:v>Better</c:v>
                </c:pt>
                <c:pt idx="1">
                  <c:v>The Same</c:v>
                </c:pt>
                <c:pt idx="2">
                  <c:v>Worse</c:v>
                </c:pt>
              </c:strCache>
            </c:strRef>
          </c:cat>
          <c:val>
            <c:numRef>
              <c:f>'Health compared with year ago'!$B$34:$B$36</c:f>
              <c:numCache>
                <c:formatCode>0</c:formatCode>
                <c:ptCount val="3"/>
                <c:pt idx="0">
                  <c:v>13.289607589090135</c:v>
                </c:pt>
                <c:pt idx="1">
                  <c:v>70.351181922795519</c:v>
                </c:pt>
                <c:pt idx="2">
                  <c:v>16.359210488113977</c:v>
                </c:pt>
              </c:numCache>
            </c:numRef>
          </c:val>
        </c:ser>
        <c:dLbls>
          <c:showLegendKey val="0"/>
          <c:showVal val="0"/>
          <c:showCatName val="0"/>
          <c:showSerName val="0"/>
          <c:showPercent val="0"/>
          <c:showBubbleSize val="0"/>
        </c:dLbls>
        <c:gapWidth val="150"/>
        <c:axId val="130598016"/>
        <c:axId val="130599552"/>
      </c:barChart>
      <c:catAx>
        <c:axId val="130598016"/>
        <c:scaling>
          <c:orientation val="minMax"/>
        </c:scaling>
        <c:delete val="0"/>
        <c:axPos val="b"/>
        <c:majorTickMark val="out"/>
        <c:minorTickMark val="none"/>
        <c:tickLblPos val="nextTo"/>
        <c:txPr>
          <a:bodyPr/>
          <a:lstStyle/>
          <a:p>
            <a:pPr>
              <a:defRPr sz="900"/>
            </a:pPr>
            <a:endParaRPr lang="en-US"/>
          </a:p>
        </c:txPr>
        <c:crossAx val="130599552"/>
        <c:crosses val="autoZero"/>
        <c:auto val="1"/>
        <c:lblAlgn val="ctr"/>
        <c:lblOffset val="100"/>
        <c:noMultiLvlLbl val="0"/>
      </c:catAx>
      <c:valAx>
        <c:axId val="130599552"/>
        <c:scaling>
          <c:orientation val="minMax"/>
          <c:max val="8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30598016"/>
        <c:crosses val="autoZero"/>
        <c:crossBetween val="between"/>
        <c:majorUnit val="20"/>
      </c:valAx>
    </c:plotArea>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STI Questions</a:t>
            </a:r>
            <a:r>
              <a:rPr lang="en-GB" baseline="0"/>
              <a:t> - Scores by Trust</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8.5959259259259263E-2"/>
          <c:y val="0.10437575075075088"/>
          <c:w val="0.89974542418519043"/>
          <c:h val="0.70784159159159299"/>
        </c:manualLayout>
      </c:layout>
      <c:barChart>
        <c:barDir val="col"/>
        <c:grouping val="stacked"/>
        <c:varyColors val="0"/>
        <c:ser>
          <c:idx val="0"/>
          <c:order val="0"/>
          <c:tx>
            <c:strRef>
              <c:f>'Overall Scores'!$A$12</c:f>
              <c:strCache>
                <c:ptCount val="1"/>
                <c:pt idx="0">
                  <c:v>Not aware of any STIs</c:v>
                </c:pt>
              </c:strCache>
            </c:strRef>
          </c:tx>
          <c:spPr>
            <a:solidFill>
              <a:srgbClr val="C0504D">
                <a:lumMod val="50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'Overall Scores'!$G$11:$K$11</c:f>
              <c:strCache>
                <c:ptCount val="5"/>
                <c:pt idx="0">
                  <c:v>Belfast</c:v>
                </c:pt>
                <c:pt idx="1">
                  <c:v>Northern</c:v>
                </c:pt>
                <c:pt idx="2">
                  <c:v>South Eastern</c:v>
                </c:pt>
                <c:pt idx="3">
                  <c:v>Southern</c:v>
                </c:pt>
                <c:pt idx="4">
                  <c:v>Western</c:v>
                </c:pt>
              </c:strCache>
            </c:strRef>
          </c:cat>
          <c:val>
            <c:numRef>
              <c:f>'Overall Scores'!$G$12:$K$12</c:f>
              <c:numCache>
                <c:formatCode>0</c:formatCode>
                <c:ptCount val="5"/>
                <c:pt idx="0">
                  <c:v>4.6636318816295965</c:v>
                </c:pt>
                <c:pt idx="1">
                  <c:v>8.5004102336195704</c:v>
                </c:pt>
                <c:pt idx="2">
                  <c:v>5.2804517878871904</c:v>
                </c:pt>
                <c:pt idx="3">
                  <c:v>9.9750150789451268</c:v>
                </c:pt>
                <c:pt idx="4">
                  <c:v>10.816335869716626</c:v>
                </c:pt>
              </c:numCache>
            </c:numRef>
          </c:val>
        </c:ser>
        <c:ser>
          <c:idx val="1"/>
          <c:order val="1"/>
          <c:tx>
            <c:strRef>
              <c:f>'Overall Scores'!$A$13</c:f>
              <c:strCache>
                <c:ptCount val="1"/>
                <c:pt idx="0">
                  <c:v>0 Correct</c:v>
                </c:pt>
              </c:strCache>
            </c:strRef>
          </c:tx>
          <c:spPr>
            <a:solidFill>
              <a:srgbClr val="C0504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'Overall Scores'!$G$11:$K$11</c:f>
              <c:strCache>
                <c:ptCount val="5"/>
                <c:pt idx="0">
                  <c:v>Belfast</c:v>
                </c:pt>
                <c:pt idx="1">
                  <c:v>Northern</c:v>
                </c:pt>
                <c:pt idx="2">
                  <c:v>South Eastern</c:v>
                </c:pt>
                <c:pt idx="3">
                  <c:v>Southern</c:v>
                </c:pt>
                <c:pt idx="4">
                  <c:v>Western</c:v>
                </c:pt>
              </c:strCache>
            </c:strRef>
          </c:cat>
          <c:val>
            <c:numRef>
              <c:f>'Overall Scores'!$G$13:$K$13</c:f>
              <c:numCache>
                <c:formatCode>0</c:formatCode>
                <c:ptCount val="5"/>
                <c:pt idx="0">
                  <c:v>1.9783008236763808</c:v>
                </c:pt>
                <c:pt idx="1">
                  <c:v>3.7138053638409829</c:v>
                </c:pt>
                <c:pt idx="2">
                  <c:v>3.2294472557860612</c:v>
                </c:pt>
                <c:pt idx="3">
                  <c:v>4.0256934938302464</c:v>
                </c:pt>
                <c:pt idx="4">
                  <c:v>4.9196653644605934</c:v>
                </c:pt>
              </c:numCache>
            </c:numRef>
          </c:val>
        </c:ser>
        <c:ser>
          <c:idx val="2"/>
          <c:order val="2"/>
          <c:tx>
            <c:strRef>
              <c:f>'Overall Scores'!$A$14</c:f>
              <c:strCache>
                <c:ptCount val="1"/>
                <c:pt idx="0">
                  <c:v>1-5 Correct</c:v>
                </c:pt>
              </c:strCache>
            </c:strRef>
          </c:tx>
          <c:spPr>
            <a:solidFill>
              <a:srgbClr val="C0504D"/>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'Overall Scores'!$G$11:$K$11</c:f>
              <c:strCache>
                <c:ptCount val="5"/>
                <c:pt idx="0">
                  <c:v>Belfast</c:v>
                </c:pt>
                <c:pt idx="1">
                  <c:v>Northern</c:v>
                </c:pt>
                <c:pt idx="2">
                  <c:v>South Eastern</c:v>
                </c:pt>
                <c:pt idx="3">
                  <c:v>Southern</c:v>
                </c:pt>
                <c:pt idx="4">
                  <c:v>Western</c:v>
                </c:pt>
              </c:strCache>
            </c:strRef>
          </c:cat>
          <c:val>
            <c:numRef>
              <c:f>'Overall Scores'!$G$14:$K$14</c:f>
              <c:numCache>
                <c:formatCode>0</c:formatCode>
                <c:ptCount val="5"/>
                <c:pt idx="0">
                  <c:v>14.812222026035801</c:v>
                </c:pt>
                <c:pt idx="1">
                  <c:v>20.502375757927826</c:v>
                </c:pt>
                <c:pt idx="2">
                  <c:v>28.645411317032274</c:v>
                </c:pt>
                <c:pt idx="3">
                  <c:v>22.575671745088435</c:v>
                </c:pt>
                <c:pt idx="4">
                  <c:v>27.691706784630465</c:v>
                </c:pt>
              </c:numCache>
            </c:numRef>
          </c:val>
        </c:ser>
        <c:ser>
          <c:idx val="3"/>
          <c:order val="3"/>
          <c:tx>
            <c:strRef>
              <c:f>'Overall Scores'!$A$15</c:f>
              <c:strCache>
                <c:ptCount val="1"/>
                <c:pt idx="0">
                  <c:v>6-10 Correct</c:v>
                </c:pt>
              </c:strCache>
            </c:strRef>
          </c:tx>
          <c:spPr>
            <a:solidFill>
              <a:srgbClr val="C0504D">
                <a:lumMod val="60000"/>
                <a:lumOff val="4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'Overall Scores'!$G$11:$K$11</c:f>
              <c:strCache>
                <c:ptCount val="5"/>
                <c:pt idx="0">
                  <c:v>Belfast</c:v>
                </c:pt>
                <c:pt idx="1">
                  <c:v>Northern</c:v>
                </c:pt>
                <c:pt idx="2">
                  <c:v>South Eastern</c:v>
                </c:pt>
                <c:pt idx="3">
                  <c:v>Southern</c:v>
                </c:pt>
                <c:pt idx="4">
                  <c:v>Western</c:v>
                </c:pt>
              </c:strCache>
            </c:strRef>
          </c:cat>
          <c:val>
            <c:numRef>
              <c:f>'Overall Scores'!$G$15:$K$15</c:f>
              <c:numCache>
                <c:formatCode>0</c:formatCode>
                <c:ptCount val="5"/>
                <c:pt idx="0">
                  <c:v>25.876048530572014</c:v>
                </c:pt>
                <c:pt idx="1">
                  <c:v>28.898759446087052</c:v>
                </c:pt>
                <c:pt idx="2">
                  <c:v>26.165541890948589</c:v>
                </c:pt>
                <c:pt idx="3">
                  <c:v>26.915289713708432</c:v>
                </c:pt>
                <c:pt idx="4">
                  <c:v>21.708161642655117</c:v>
                </c:pt>
              </c:numCache>
            </c:numRef>
          </c:val>
        </c:ser>
        <c:ser>
          <c:idx val="4"/>
          <c:order val="4"/>
          <c:tx>
            <c:strRef>
              <c:f>'Overall Scores'!$A$16</c:f>
              <c:strCache>
                <c:ptCount val="1"/>
                <c:pt idx="0">
                  <c:v>11+ Correct</c:v>
                </c:pt>
              </c:strCache>
            </c:strRef>
          </c:tx>
          <c:spPr>
            <a:solidFill>
              <a:srgbClr val="C0504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'Overall Scores'!$G$11:$K$11</c:f>
              <c:strCache>
                <c:ptCount val="5"/>
                <c:pt idx="0">
                  <c:v>Belfast</c:v>
                </c:pt>
                <c:pt idx="1">
                  <c:v>Northern</c:v>
                </c:pt>
                <c:pt idx="2">
                  <c:v>South Eastern</c:v>
                </c:pt>
                <c:pt idx="3">
                  <c:v>Southern</c:v>
                </c:pt>
                <c:pt idx="4">
                  <c:v>Western</c:v>
                </c:pt>
              </c:strCache>
            </c:strRef>
          </c:cat>
          <c:val>
            <c:numRef>
              <c:f>'Overall Scores'!$G$16:$K$16</c:f>
              <c:numCache>
                <c:formatCode>0</c:formatCode>
                <c:ptCount val="5"/>
                <c:pt idx="0">
                  <c:v>52.669796738086212</c:v>
                </c:pt>
                <c:pt idx="1">
                  <c:v>38.036689410889977</c:v>
                </c:pt>
                <c:pt idx="2">
                  <c:v>36.033438748594264</c:v>
                </c:pt>
                <c:pt idx="3">
                  <c:v>36.022644094530293</c:v>
                </c:pt>
                <c:pt idx="4">
                  <c:v>34.422437578624709</c:v>
                </c:pt>
              </c:numCache>
            </c:numRef>
          </c:val>
        </c:ser>
        <c:dLbls>
          <c:showLegendKey val="0"/>
          <c:showVal val="1"/>
          <c:showCatName val="0"/>
          <c:showSerName val="0"/>
          <c:showPercent val="0"/>
          <c:showBubbleSize val="0"/>
        </c:dLbls>
        <c:gapWidth val="70"/>
        <c:overlap val="100"/>
        <c:axId val="178007040"/>
        <c:axId val="178021120"/>
      </c:barChart>
      <c:catAx>
        <c:axId val="178007040"/>
        <c:scaling>
          <c:orientation val="minMax"/>
        </c:scaling>
        <c:delete val="0"/>
        <c:axPos val="b"/>
        <c:majorTickMark val="out"/>
        <c:minorTickMark val="none"/>
        <c:tickLblPos val="nextTo"/>
        <c:txPr>
          <a:bodyPr/>
          <a:lstStyle/>
          <a:p>
            <a:pPr>
              <a:defRPr sz="900"/>
            </a:pPr>
            <a:endParaRPr lang="en-US"/>
          </a:p>
        </c:txPr>
        <c:crossAx val="178021120"/>
        <c:crosses val="autoZero"/>
        <c:auto val="1"/>
        <c:lblAlgn val="ctr"/>
        <c:lblOffset val="100"/>
        <c:noMultiLvlLbl val="0"/>
      </c:catAx>
      <c:valAx>
        <c:axId val="178021120"/>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007040"/>
        <c:crosses val="autoZero"/>
        <c:crossBetween val="between"/>
        <c:majorUnit val="20"/>
      </c:valAx>
    </c:plotArea>
    <c:legend>
      <c:legendPos val="b"/>
      <c:layout>
        <c:manualLayout>
          <c:xMode val="edge"/>
          <c:yMode val="edge"/>
          <c:x val="0"/>
          <c:y val="0.92004046369203862"/>
          <c:w val="0.9978778509571451"/>
          <c:h val="7.5149095946340103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en-GB"/>
              <a:t>STI Questions</a:t>
            </a:r>
            <a:r>
              <a:rPr lang="en-GB" baseline="0"/>
              <a:t> - Scores by Deprivation</a:t>
            </a:r>
            <a:endParaRPr lang="en-GB"/>
          </a:p>
        </c:rich>
      </c:tx>
      <c:layout>
        <c:manualLayout>
          <c:xMode val="edge"/>
          <c:yMode val="edge"/>
          <c:x val="1.1224694327520621E-3"/>
          <c:y val="0"/>
        </c:manualLayout>
      </c:layout>
      <c:overlay val="0"/>
    </c:title>
    <c:autoTitleDeleted val="0"/>
    <c:plotArea>
      <c:layout>
        <c:manualLayout>
          <c:layoutTarget val="inner"/>
          <c:xMode val="edge"/>
          <c:yMode val="edge"/>
          <c:x val="9.7718602973786525E-2"/>
          <c:y val="0.11523359580052493"/>
          <c:w val="0.8997454241851911"/>
          <c:h val="0.69276165007675961"/>
        </c:manualLayout>
      </c:layout>
      <c:barChart>
        <c:barDir val="col"/>
        <c:grouping val="stacked"/>
        <c:varyColors val="0"/>
        <c:ser>
          <c:idx val="0"/>
          <c:order val="0"/>
          <c:tx>
            <c:strRef>
              <c:f>'Overall Scores'!$A$12</c:f>
              <c:strCache>
                <c:ptCount val="1"/>
                <c:pt idx="0">
                  <c:v>Not aware of any STIs</c:v>
                </c:pt>
              </c:strCache>
            </c:strRef>
          </c:tx>
          <c:spPr>
            <a:solidFill>
              <a:srgbClr val="C0504D">
                <a:lumMod val="50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'Overall Scores'!$L$11:$P$11</c:f>
              <c:strCache>
                <c:ptCount val="5"/>
                <c:pt idx="0">
                  <c:v>Most Deprived</c:v>
                </c:pt>
                <c:pt idx="1">
                  <c:v>Q2</c:v>
                </c:pt>
                <c:pt idx="2">
                  <c:v>Q3</c:v>
                </c:pt>
                <c:pt idx="3">
                  <c:v>Q4 </c:v>
                </c:pt>
                <c:pt idx="4">
                  <c:v>Least Deprived</c:v>
                </c:pt>
              </c:strCache>
            </c:strRef>
          </c:cat>
          <c:val>
            <c:numRef>
              <c:f>'Overall Scores'!$L$12:$P$12</c:f>
              <c:numCache>
                <c:formatCode>0</c:formatCode>
                <c:ptCount val="5"/>
                <c:pt idx="0">
                  <c:v>9.2625193657093732</c:v>
                </c:pt>
                <c:pt idx="1">
                  <c:v>7.3448362939499745</c:v>
                </c:pt>
                <c:pt idx="2">
                  <c:v>7.7618947310035171</c:v>
                </c:pt>
                <c:pt idx="3">
                  <c:v>8.0186613040252279</c:v>
                </c:pt>
                <c:pt idx="4">
                  <c:v>5.5268606145247023</c:v>
                </c:pt>
              </c:numCache>
            </c:numRef>
          </c:val>
        </c:ser>
        <c:ser>
          <c:idx val="1"/>
          <c:order val="1"/>
          <c:tx>
            <c:strRef>
              <c:f>'Overall Scores'!$A$13</c:f>
              <c:strCache>
                <c:ptCount val="1"/>
                <c:pt idx="0">
                  <c:v>0 Correct</c:v>
                </c:pt>
              </c:strCache>
            </c:strRef>
          </c:tx>
          <c:spPr>
            <a:solidFill>
              <a:srgbClr val="C0504D">
                <a:lumMod val="75000"/>
              </a:srgbClr>
            </a:solidFill>
          </c:spPr>
          <c:invertIfNegative val="0"/>
          <c:dLbls>
            <c:txPr>
              <a:bodyPr/>
              <a:lstStyle/>
              <a:p>
                <a:pPr>
                  <a:defRPr sz="900">
                    <a:solidFill>
                      <a:schemeClr val="bg2"/>
                    </a:solidFill>
                  </a:defRPr>
                </a:pPr>
                <a:endParaRPr lang="en-US"/>
              </a:p>
            </c:txPr>
            <c:dLblPos val="ctr"/>
            <c:showLegendKey val="0"/>
            <c:showVal val="1"/>
            <c:showCatName val="0"/>
            <c:showSerName val="0"/>
            <c:showPercent val="0"/>
            <c:showBubbleSize val="0"/>
            <c:showLeaderLines val="0"/>
          </c:dLbls>
          <c:cat>
            <c:strRef>
              <c:f>'Overall Scores'!$L$11:$P$11</c:f>
              <c:strCache>
                <c:ptCount val="5"/>
                <c:pt idx="0">
                  <c:v>Most Deprived</c:v>
                </c:pt>
                <c:pt idx="1">
                  <c:v>Q2</c:v>
                </c:pt>
                <c:pt idx="2">
                  <c:v>Q3</c:v>
                </c:pt>
                <c:pt idx="3">
                  <c:v>Q4 </c:v>
                </c:pt>
                <c:pt idx="4">
                  <c:v>Least Deprived</c:v>
                </c:pt>
              </c:strCache>
            </c:strRef>
          </c:cat>
          <c:val>
            <c:numRef>
              <c:f>'Overall Scores'!$L$13:$P$13</c:f>
              <c:numCache>
                <c:formatCode>0</c:formatCode>
                <c:ptCount val="5"/>
                <c:pt idx="0">
                  <c:v>3.9478160685216248</c:v>
                </c:pt>
                <c:pt idx="1">
                  <c:v>2.5624064351196671</c:v>
                </c:pt>
                <c:pt idx="2">
                  <c:v>5.0598582918661323</c:v>
                </c:pt>
                <c:pt idx="3">
                  <c:v>2.6550861845195977</c:v>
                </c:pt>
                <c:pt idx="4">
                  <c:v>2.8089872499233612</c:v>
                </c:pt>
              </c:numCache>
            </c:numRef>
          </c:val>
        </c:ser>
        <c:ser>
          <c:idx val="2"/>
          <c:order val="2"/>
          <c:tx>
            <c:strRef>
              <c:f>'Overall Scores'!$A$14</c:f>
              <c:strCache>
                <c:ptCount val="1"/>
                <c:pt idx="0">
                  <c:v>1-5 Correct</c:v>
                </c:pt>
              </c:strCache>
            </c:strRef>
          </c:tx>
          <c:spPr>
            <a:solidFill>
              <a:srgbClr val="C0504D"/>
            </a:solidFill>
          </c:spPr>
          <c:invertIfNegative val="0"/>
          <c:dLbls>
            <c:txPr>
              <a:bodyPr/>
              <a:lstStyle/>
              <a:p>
                <a:pPr>
                  <a:defRPr sz="900">
                    <a:solidFill>
                      <a:schemeClr val="bg1"/>
                    </a:solidFill>
                  </a:defRPr>
                </a:pPr>
                <a:endParaRPr lang="en-US"/>
              </a:p>
            </c:txPr>
            <c:dLblPos val="ctr"/>
            <c:showLegendKey val="0"/>
            <c:showVal val="1"/>
            <c:showCatName val="0"/>
            <c:showSerName val="0"/>
            <c:showPercent val="0"/>
            <c:showBubbleSize val="0"/>
            <c:showLeaderLines val="0"/>
          </c:dLbls>
          <c:cat>
            <c:strRef>
              <c:f>'Overall Scores'!$L$11:$P$11</c:f>
              <c:strCache>
                <c:ptCount val="5"/>
                <c:pt idx="0">
                  <c:v>Most Deprived</c:v>
                </c:pt>
                <c:pt idx="1">
                  <c:v>Q2</c:v>
                </c:pt>
                <c:pt idx="2">
                  <c:v>Q3</c:v>
                </c:pt>
                <c:pt idx="3">
                  <c:v>Q4 </c:v>
                </c:pt>
                <c:pt idx="4">
                  <c:v>Least Deprived</c:v>
                </c:pt>
              </c:strCache>
            </c:strRef>
          </c:cat>
          <c:val>
            <c:numRef>
              <c:f>'Overall Scores'!$L$14:$P$14</c:f>
              <c:numCache>
                <c:formatCode>0</c:formatCode>
                <c:ptCount val="5"/>
                <c:pt idx="0">
                  <c:v>19.124502873817526</c:v>
                </c:pt>
                <c:pt idx="1">
                  <c:v>24.441988488787008</c:v>
                </c:pt>
                <c:pt idx="2">
                  <c:v>22.213157441067228</c:v>
                </c:pt>
                <c:pt idx="3">
                  <c:v>25.798713452788189</c:v>
                </c:pt>
                <c:pt idx="4">
                  <c:v>21.987528737896699</c:v>
                </c:pt>
              </c:numCache>
            </c:numRef>
          </c:val>
        </c:ser>
        <c:ser>
          <c:idx val="3"/>
          <c:order val="3"/>
          <c:tx>
            <c:strRef>
              <c:f>'Overall Scores'!$A$15</c:f>
              <c:strCache>
                <c:ptCount val="1"/>
                <c:pt idx="0">
                  <c:v>6-10 Correct</c:v>
                </c:pt>
              </c:strCache>
            </c:strRef>
          </c:tx>
          <c:spPr>
            <a:solidFill>
              <a:srgbClr val="C0504D">
                <a:lumMod val="60000"/>
                <a:lumOff val="4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'Overall Scores'!$L$11:$P$11</c:f>
              <c:strCache>
                <c:ptCount val="5"/>
                <c:pt idx="0">
                  <c:v>Most Deprived</c:v>
                </c:pt>
                <c:pt idx="1">
                  <c:v>Q2</c:v>
                </c:pt>
                <c:pt idx="2">
                  <c:v>Q3</c:v>
                </c:pt>
                <c:pt idx="3">
                  <c:v>Q4 </c:v>
                </c:pt>
                <c:pt idx="4">
                  <c:v>Least Deprived</c:v>
                </c:pt>
              </c:strCache>
            </c:strRef>
          </c:cat>
          <c:val>
            <c:numRef>
              <c:f>'Overall Scores'!$L$15:$P$15</c:f>
              <c:numCache>
                <c:formatCode>0</c:formatCode>
                <c:ptCount val="5"/>
                <c:pt idx="0">
                  <c:v>27.893226141151686</c:v>
                </c:pt>
                <c:pt idx="1">
                  <c:v>26.806132463784003</c:v>
                </c:pt>
                <c:pt idx="2">
                  <c:v>26.981604589370534</c:v>
                </c:pt>
                <c:pt idx="3">
                  <c:v>23.119805528795009</c:v>
                </c:pt>
                <c:pt idx="4">
                  <c:v>26.659350179285791</c:v>
                </c:pt>
              </c:numCache>
            </c:numRef>
          </c:val>
        </c:ser>
        <c:ser>
          <c:idx val="4"/>
          <c:order val="4"/>
          <c:tx>
            <c:strRef>
              <c:f>'Overall Scores'!$A$16</c:f>
              <c:strCache>
                <c:ptCount val="1"/>
                <c:pt idx="0">
                  <c:v>11+ Correct</c:v>
                </c:pt>
              </c:strCache>
            </c:strRef>
          </c:tx>
          <c:spPr>
            <a:solidFill>
              <a:srgbClr val="C0504D">
                <a:lumMod val="20000"/>
                <a:lumOff val="80000"/>
              </a:srgbClr>
            </a:solidFill>
          </c:spPr>
          <c:invertIfNegative val="0"/>
          <c:dLbls>
            <c:txPr>
              <a:bodyPr/>
              <a:lstStyle/>
              <a:p>
                <a:pPr>
                  <a:defRPr sz="900"/>
                </a:pPr>
                <a:endParaRPr lang="en-US"/>
              </a:p>
            </c:txPr>
            <c:dLblPos val="ctr"/>
            <c:showLegendKey val="0"/>
            <c:showVal val="1"/>
            <c:showCatName val="0"/>
            <c:showSerName val="0"/>
            <c:showPercent val="0"/>
            <c:showBubbleSize val="0"/>
            <c:showLeaderLines val="0"/>
          </c:dLbls>
          <c:cat>
            <c:strRef>
              <c:f>'Overall Scores'!$L$11:$P$11</c:f>
              <c:strCache>
                <c:ptCount val="5"/>
                <c:pt idx="0">
                  <c:v>Most Deprived</c:v>
                </c:pt>
                <c:pt idx="1">
                  <c:v>Q2</c:v>
                </c:pt>
                <c:pt idx="2">
                  <c:v>Q3</c:v>
                </c:pt>
                <c:pt idx="3">
                  <c:v>Q4 </c:v>
                </c:pt>
                <c:pt idx="4">
                  <c:v>Least Deprived</c:v>
                </c:pt>
              </c:strCache>
            </c:strRef>
          </c:cat>
          <c:val>
            <c:numRef>
              <c:f>'Overall Scores'!$L$16:$P$16</c:f>
              <c:numCache>
                <c:formatCode>0</c:formatCode>
                <c:ptCount val="5"/>
                <c:pt idx="0">
                  <c:v>39.469206497001998</c:v>
                </c:pt>
                <c:pt idx="1">
                  <c:v>38.629826633795993</c:v>
                </c:pt>
                <c:pt idx="2">
                  <c:v>37.367739165472294</c:v>
                </c:pt>
                <c:pt idx="3">
                  <c:v>39.951981335574928</c:v>
                </c:pt>
                <c:pt idx="4">
                  <c:v>42.736703395020363</c:v>
                </c:pt>
              </c:numCache>
            </c:numRef>
          </c:val>
        </c:ser>
        <c:dLbls>
          <c:showLegendKey val="0"/>
          <c:showVal val="1"/>
          <c:showCatName val="0"/>
          <c:showSerName val="0"/>
          <c:showPercent val="0"/>
          <c:showBubbleSize val="0"/>
        </c:dLbls>
        <c:gapWidth val="70"/>
        <c:overlap val="100"/>
        <c:axId val="178137344"/>
        <c:axId val="178147328"/>
      </c:barChart>
      <c:catAx>
        <c:axId val="178137344"/>
        <c:scaling>
          <c:orientation val="minMax"/>
        </c:scaling>
        <c:delete val="0"/>
        <c:axPos val="b"/>
        <c:majorTickMark val="out"/>
        <c:minorTickMark val="none"/>
        <c:tickLblPos val="nextTo"/>
        <c:txPr>
          <a:bodyPr/>
          <a:lstStyle/>
          <a:p>
            <a:pPr>
              <a:defRPr sz="900"/>
            </a:pPr>
            <a:endParaRPr lang="en-US"/>
          </a:p>
        </c:txPr>
        <c:crossAx val="178147328"/>
        <c:crosses val="autoZero"/>
        <c:auto val="1"/>
        <c:lblAlgn val="ctr"/>
        <c:lblOffset val="100"/>
        <c:noMultiLvlLbl val="0"/>
      </c:catAx>
      <c:valAx>
        <c:axId val="178147328"/>
        <c:scaling>
          <c:orientation val="minMax"/>
          <c:max val="100"/>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137344"/>
        <c:crosses val="autoZero"/>
        <c:crossBetween val="between"/>
        <c:majorUnit val="20"/>
      </c:valAx>
    </c:plotArea>
    <c:legend>
      <c:legendPos val="b"/>
      <c:layout>
        <c:manualLayout>
          <c:xMode val="edge"/>
          <c:yMode val="edge"/>
          <c:x val="0"/>
          <c:y val="0.92467013888889849"/>
          <c:w val="0.9978778509571451"/>
          <c:h val="7.051944444444451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63888888888889"/>
          <c:y val="5.3820833333333512E-2"/>
          <c:w val="0.81485416666666666"/>
          <c:h val="0.62749236111111106"/>
        </c:manualLayout>
      </c:layout>
      <c:barChart>
        <c:barDir val="col"/>
        <c:grouping val="clustered"/>
        <c:varyColors val="0"/>
        <c:ser>
          <c:idx val="0"/>
          <c:order val="0"/>
          <c:tx>
            <c:strRef>
              <c:f>Sheet1!$G$11</c:f>
              <c:strCache>
                <c:ptCount val="1"/>
                <c:pt idx="0">
                  <c:v>Male</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Sheet1!$H$11:$J$11</c:f>
              <c:numCache>
                <c:formatCode>0</c:formatCode>
                <c:ptCount val="3"/>
                <c:pt idx="0">
                  <c:v>84.100126422440852</c:v>
                </c:pt>
                <c:pt idx="1">
                  <c:v>13.330645094251034</c:v>
                </c:pt>
                <c:pt idx="2">
                  <c:v>2.5692284833082044</c:v>
                </c:pt>
              </c:numCache>
            </c:numRef>
          </c:val>
        </c:ser>
        <c:ser>
          <c:idx val="1"/>
          <c:order val="1"/>
          <c:tx>
            <c:strRef>
              <c:f>Sheet1!$G$18</c:f>
              <c:strCache>
                <c:ptCount val="1"/>
                <c:pt idx="0">
                  <c:v>Female</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Sheet1!$H$18:$J$18</c:f>
              <c:numCache>
                <c:formatCode>0</c:formatCode>
                <c:ptCount val="3"/>
                <c:pt idx="0">
                  <c:v>92.351929850675987</c:v>
                </c:pt>
                <c:pt idx="1">
                  <c:v>6.1856449480862246</c:v>
                </c:pt>
                <c:pt idx="2">
                  <c:v>1.4624252012377048</c:v>
                </c:pt>
              </c:numCache>
            </c:numRef>
          </c:val>
        </c:ser>
        <c:dLbls>
          <c:showLegendKey val="0"/>
          <c:showVal val="1"/>
          <c:showCatName val="0"/>
          <c:showSerName val="0"/>
          <c:showPercent val="0"/>
          <c:showBubbleSize val="0"/>
        </c:dLbls>
        <c:gapWidth val="150"/>
        <c:axId val="178173824"/>
        <c:axId val="178175360"/>
      </c:barChart>
      <c:catAx>
        <c:axId val="178173824"/>
        <c:scaling>
          <c:orientation val="minMax"/>
        </c:scaling>
        <c:delete val="0"/>
        <c:axPos val="b"/>
        <c:majorTickMark val="out"/>
        <c:minorTickMark val="none"/>
        <c:tickLblPos val="nextTo"/>
        <c:txPr>
          <a:bodyPr/>
          <a:lstStyle/>
          <a:p>
            <a:pPr>
              <a:defRPr sz="900"/>
            </a:pPr>
            <a:endParaRPr lang="en-US"/>
          </a:p>
        </c:txPr>
        <c:crossAx val="178175360"/>
        <c:crosses val="autoZero"/>
        <c:auto val="1"/>
        <c:lblAlgn val="ctr"/>
        <c:lblOffset val="100"/>
        <c:noMultiLvlLbl val="0"/>
      </c:catAx>
      <c:valAx>
        <c:axId val="178175360"/>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173824"/>
        <c:crosses val="autoZero"/>
        <c:crossBetween val="between"/>
        <c:majorUnit val="20"/>
      </c:valAx>
    </c:plotArea>
    <c:legend>
      <c:legendPos val="b"/>
      <c:layout>
        <c:manualLayout>
          <c:xMode val="edge"/>
          <c:yMode val="edge"/>
          <c:x val="0.37647738966549943"/>
          <c:y val="0.82288009259259376"/>
          <c:w val="0.30560451388889615"/>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63888888888889"/>
          <c:y val="5.3820833333333512E-2"/>
          <c:w val="0.81485416666666666"/>
          <c:h val="0.62749236111111106"/>
        </c:manualLayout>
      </c:layout>
      <c:barChart>
        <c:barDir val="col"/>
        <c:grouping val="clustered"/>
        <c:varyColors val="0"/>
        <c:ser>
          <c:idx val="0"/>
          <c:order val="0"/>
          <c:tx>
            <c:strRef>
              <c:f>Sheet1!$G$12</c:f>
              <c:strCache>
                <c:ptCount val="1"/>
                <c:pt idx="0">
                  <c:v>Male</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Sheet1!$H$12:$J$12</c:f>
              <c:numCache>
                <c:formatCode>0</c:formatCode>
                <c:ptCount val="3"/>
                <c:pt idx="0">
                  <c:v>57.581034066519344</c:v>
                </c:pt>
                <c:pt idx="1">
                  <c:v>22.515946228453839</c:v>
                </c:pt>
                <c:pt idx="2">
                  <c:v>19.903019705026889</c:v>
                </c:pt>
              </c:numCache>
            </c:numRef>
          </c:val>
        </c:ser>
        <c:ser>
          <c:idx val="1"/>
          <c:order val="1"/>
          <c:tx>
            <c:strRef>
              <c:f>Sheet1!$G$19</c:f>
              <c:strCache>
                <c:ptCount val="1"/>
                <c:pt idx="0">
                  <c:v>Female</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Sheet1!$H$19:$J$19</c:f>
              <c:numCache>
                <c:formatCode>0</c:formatCode>
                <c:ptCount val="3"/>
                <c:pt idx="0">
                  <c:v>75.538609208720075</c:v>
                </c:pt>
                <c:pt idx="1">
                  <c:v>13.254171679968936</c:v>
                </c:pt>
                <c:pt idx="2">
                  <c:v>11.207219111310998</c:v>
                </c:pt>
              </c:numCache>
            </c:numRef>
          </c:val>
        </c:ser>
        <c:dLbls>
          <c:showLegendKey val="0"/>
          <c:showVal val="1"/>
          <c:showCatName val="0"/>
          <c:showSerName val="0"/>
          <c:showPercent val="0"/>
          <c:showBubbleSize val="0"/>
        </c:dLbls>
        <c:gapWidth val="150"/>
        <c:axId val="173720704"/>
        <c:axId val="173722240"/>
      </c:barChart>
      <c:catAx>
        <c:axId val="173720704"/>
        <c:scaling>
          <c:orientation val="minMax"/>
        </c:scaling>
        <c:delete val="0"/>
        <c:axPos val="b"/>
        <c:majorTickMark val="out"/>
        <c:minorTickMark val="none"/>
        <c:tickLblPos val="nextTo"/>
        <c:txPr>
          <a:bodyPr/>
          <a:lstStyle/>
          <a:p>
            <a:pPr>
              <a:defRPr sz="900"/>
            </a:pPr>
            <a:endParaRPr lang="en-US"/>
          </a:p>
        </c:txPr>
        <c:crossAx val="173722240"/>
        <c:crosses val="autoZero"/>
        <c:auto val="1"/>
        <c:lblAlgn val="ctr"/>
        <c:lblOffset val="100"/>
        <c:noMultiLvlLbl val="0"/>
      </c:catAx>
      <c:valAx>
        <c:axId val="173722240"/>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3720704"/>
        <c:crosses val="autoZero"/>
        <c:crossBetween val="between"/>
        <c:majorUnit val="20"/>
      </c:valAx>
    </c:plotArea>
    <c:legend>
      <c:legendPos val="b"/>
      <c:layout>
        <c:manualLayout>
          <c:xMode val="edge"/>
          <c:yMode val="edge"/>
          <c:x val="0.37647738966549943"/>
          <c:y val="0.80524120370370433"/>
          <c:w val="0.30560451388889615"/>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63888888888889"/>
          <c:y val="5.3820833333333512E-2"/>
          <c:w val="0.81485416666666666"/>
          <c:h val="0.68040925925925921"/>
        </c:manualLayout>
      </c:layout>
      <c:barChart>
        <c:barDir val="col"/>
        <c:grouping val="clustered"/>
        <c:varyColors val="0"/>
        <c:ser>
          <c:idx val="0"/>
          <c:order val="0"/>
          <c:tx>
            <c:strRef>
              <c:f>Sheet1!$G$13</c:f>
              <c:strCache>
                <c:ptCount val="1"/>
                <c:pt idx="0">
                  <c:v>Male</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Sheet1!$H$13:$J$13</c:f>
              <c:numCache>
                <c:formatCode>0</c:formatCode>
                <c:ptCount val="3"/>
                <c:pt idx="0">
                  <c:v>48.053956189651494</c:v>
                </c:pt>
                <c:pt idx="1">
                  <c:v>20.52977145120537</c:v>
                </c:pt>
                <c:pt idx="2">
                  <c:v>31.416272359143189</c:v>
                </c:pt>
              </c:numCache>
            </c:numRef>
          </c:val>
        </c:ser>
        <c:ser>
          <c:idx val="1"/>
          <c:order val="1"/>
          <c:tx>
            <c:strRef>
              <c:f>Sheet1!$G$20</c:f>
              <c:strCache>
                <c:ptCount val="1"/>
                <c:pt idx="0">
                  <c:v>Female</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Sheet1!$H$20:$J$20</c:f>
              <c:numCache>
                <c:formatCode>0</c:formatCode>
                <c:ptCount val="3"/>
                <c:pt idx="0">
                  <c:v>43.499428634522282</c:v>
                </c:pt>
                <c:pt idx="1">
                  <c:v>19.107782233632829</c:v>
                </c:pt>
                <c:pt idx="2">
                  <c:v>37.392789131844992</c:v>
                </c:pt>
              </c:numCache>
            </c:numRef>
          </c:val>
        </c:ser>
        <c:dLbls>
          <c:showLegendKey val="0"/>
          <c:showVal val="1"/>
          <c:showCatName val="0"/>
          <c:showSerName val="0"/>
          <c:showPercent val="0"/>
          <c:showBubbleSize val="0"/>
        </c:dLbls>
        <c:gapWidth val="150"/>
        <c:axId val="178212224"/>
        <c:axId val="178226304"/>
      </c:barChart>
      <c:catAx>
        <c:axId val="178212224"/>
        <c:scaling>
          <c:orientation val="minMax"/>
        </c:scaling>
        <c:delete val="0"/>
        <c:axPos val="b"/>
        <c:majorTickMark val="out"/>
        <c:minorTickMark val="none"/>
        <c:tickLblPos val="nextTo"/>
        <c:txPr>
          <a:bodyPr/>
          <a:lstStyle/>
          <a:p>
            <a:pPr>
              <a:defRPr sz="900"/>
            </a:pPr>
            <a:endParaRPr lang="en-US"/>
          </a:p>
        </c:txPr>
        <c:crossAx val="178226304"/>
        <c:crosses val="autoZero"/>
        <c:auto val="1"/>
        <c:lblAlgn val="ctr"/>
        <c:lblOffset val="100"/>
        <c:noMultiLvlLbl val="0"/>
      </c:catAx>
      <c:valAx>
        <c:axId val="178226304"/>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212224"/>
        <c:crosses val="autoZero"/>
        <c:crossBetween val="between"/>
        <c:majorUnit val="20"/>
      </c:valAx>
    </c:plotArea>
    <c:legend>
      <c:legendPos val="b"/>
      <c:layout>
        <c:manualLayout>
          <c:xMode val="edge"/>
          <c:yMode val="edge"/>
          <c:x val="0.37647738966549943"/>
          <c:y val="0.87579675925925971"/>
          <c:w val="0.30560451388889615"/>
          <c:h val="0.10289953703703705"/>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63888888888889"/>
          <c:y val="3.3407567049808434E-2"/>
          <c:w val="0.81485416666666666"/>
          <c:h val="0.65182183908046099"/>
        </c:manualLayout>
      </c:layout>
      <c:barChart>
        <c:barDir val="col"/>
        <c:grouping val="clustered"/>
        <c:varyColors val="0"/>
        <c:ser>
          <c:idx val="0"/>
          <c:order val="0"/>
          <c:tx>
            <c:strRef>
              <c:f>Sheet1!$G$14</c:f>
              <c:strCache>
                <c:ptCount val="1"/>
                <c:pt idx="0">
                  <c:v>Male</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Sheet1!$H$14:$J$14</c:f>
              <c:numCache>
                <c:formatCode>0</c:formatCode>
                <c:ptCount val="3"/>
                <c:pt idx="0">
                  <c:v>41.100435684734549</c:v>
                </c:pt>
                <c:pt idx="1">
                  <c:v>22.377049163433377</c:v>
                </c:pt>
                <c:pt idx="2">
                  <c:v>36.522515151832252</c:v>
                </c:pt>
              </c:numCache>
            </c:numRef>
          </c:val>
        </c:ser>
        <c:ser>
          <c:idx val="1"/>
          <c:order val="1"/>
          <c:tx>
            <c:strRef>
              <c:f>Sheet1!$G$21</c:f>
              <c:strCache>
                <c:ptCount val="1"/>
                <c:pt idx="0">
                  <c:v>Female</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Sheet1!$H$21:$J$21</c:f>
              <c:numCache>
                <c:formatCode>0</c:formatCode>
                <c:ptCount val="3"/>
                <c:pt idx="0">
                  <c:v>39.690109534201532</c:v>
                </c:pt>
                <c:pt idx="1">
                  <c:v>15.218834129798902</c:v>
                </c:pt>
                <c:pt idx="2">
                  <c:v>45.091056336000356</c:v>
                </c:pt>
              </c:numCache>
            </c:numRef>
          </c:val>
        </c:ser>
        <c:dLbls>
          <c:showLegendKey val="0"/>
          <c:showVal val="1"/>
          <c:showCatName val="0"/>
          <c:showSerName val="0"/>
          <c:showPercent val="0"/>
          <c:showBubbleSize val="0"/>
        </c:dLbls>
        <c:gapWidth val="150"/>
        <c:axId val="178240128"/>
        <c:axId val="178266496"/>
      </c:barChart>
      <c:catAx>
        <c:axId val="178240128"/>
        <c:scaling>
          <c:orientation val="minMax"/>
        </c:scaling>
        <c:delete val="0"/>
        <c:axPos val="b"/>
        <c:majorTickMark val="out"/>
        <c:minorTickMark val="none"/>
        <c:tickLblPos val="nextTo"/>
        <c:txPr>
          <a:bodyPr/>
          <a:lstStyle/>
          <a:p>
            <a:pPr>
              <a:defRPr sz="900"/>
            </a:pPr>
            <a:endParaRPr lang="en-US"/>
          </a:p>
        </c:txPr>
        <c:crossAx val="178266496"/>
        <c:crosses val="autoZero"/>
        <c:auto val="1"/>
        <c:lblAlgn val="ctr"/>
        <c:lblOffset val="100"/>
        <c:noMultiLvlLbl val="0"/>
      </c:catAx>
      <c:valAx>
        <c:axId val="178266496"/>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240128"/>
        <c:crosses val="autoZero"/>
        <c:crossBetween val="between"/>
        <c:majorUnit val="20"/>
      </c:valAx>
    </c:plotArea>
    <c:legend>
      <c:legendPos val="b"/>
      <c:layout>
        <c:manualLayout>
          <c:xMode val="edge"/>
          <c:yMode val="edge"/>
          <c:x val="0.37647743055555588"/>
          <c:y val="0.85815763888890062"/>
          <c:w val="0.30560451388889615"/>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It is necessary</a:t>
            </a:r>
            <a:r>
              <a:rPr lang="en-GB" sz="1000" baseline="0"/>
              <a:t> to use condoms when engaging in oral sex</a:t>
            </a:r>
            <a:endParaRPr lang="en-GB" sz="1000"/>
          </a:p>
        </c:rich>
      </c:tx>
      <c:layout>
        <c:manualLayout>
          <c:xMode val="edge"/>
          <c:yMode val="edge"/>
          <c:x val="1.659208898447164E-3"/>
          <c:y val="0"/>
        </c:manualLayout>
      </c:layout>
      <c:overlay val="0"/>
    </c:title>
    <c:autoTitleDeleted val="0"/>
    <c:plotArea>
      <c:layout>
        <c:manualLayout>
          <c:layoutTarget val="inner"/>
          <c:xMode val="edge"/>
          <c:yMode val="edge"/>
          <c:x val="0.11258585858585858"/>
          <c:y val="0.13680795019157091"/>
          <c:w val="0.85494255050505064"/>
          <c:h val="0.58344109195402249"/>
        </c:manualLayout>
      </c:layout>
      <c:barChart>
        <c:barDir val="col"/>
        <c:grouping val="clustered"/>
        <c:varyColors val="0"/>
        <c:ser>
          <c:idx val="0"/>
          <c:order val="0"/>
          <c:tx>
            <c:strRef>
              <c:f>Sheet1!$G$15</c:f>
              <c:strCache>
                <c:ptCount val="1"/>
                <c:pt idx="0">
                  <c:v>Male</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Sheet1!$H$15:$J$15</c:f>
              <c:numCache>
                <c:formatCode>0</c:formatCode>
                <c:ptCount val="3"/>
                <c:pt idx="0">
                  <c:v>27.265422653978778</c:v>
                </c:pt>
                <c:pt idx="1">
                  <c:v>29.630178631927727</c:v>
                </c:pt>
                <c:pt idx="2">
                  <c:v>43.104398714092987</c:v>
                </c:pt>
              </c:numCache>
            </c:numRef>
          </c:val>
        </c:ser>
        <c:ser>
          <c:idx val="1"/>
          <c:order val="1"/>
          <c:tx>
            <c:strRef>
              <c:f>Sheet1!$G$22</c:f>
              <c:strCache>
                <c:ptCount val="1"/>
                <c:pt idx="0">
                  <c:v>Female</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Sheet1!$H$10:$J$10</c:f>
              <c:strCache>
                <c:ptCount val="3"/>
                <c:pt idx="0">
                  <c:v>Agree</c:v>
                </c:pt>
                <c:pt idx="1">
                  <c:v>Neither</c:v>
                </c:pt>
                <c:pt idx="2">
                  <c:v>Disagree</c:v>
                </c:pt>
              </c:strCache>
            </c:strRef>
          </c:cat>
          <c:val>
            <c:numRef>
              <c:f>Sheet1!$H$22:$J$22</c:f>
              <c:numCache>
                <c:formatCode>0</c:formatCode>
                <c:ptCount val="3"/>
                <c:pt idx="0">
                  <c:v>38.343689131085036</c:v>
                </c:pt>
                <c:pt idx="1">
                  <c:v>34.227657774378159</c:v>
                </c:pt>
                <c:pt idx="2">
                  <c:v>27.428653094535978</c:v>
                </c:pt>
              </c:numCache>
            </c:numRef>
          </c:val>
        </c:ser>
        <c:dLbls>
          <c:showLegendKey val="0"/>
          <c:showVal val="1"/>
          <c:showCatName val="0"/>
          <c:showSerName val="0"/>
          <c:showPercent val="0"/>
          <c:showBubbleSize val="0"/>
        </c:dLbls>
        <c:gapWidth val="150"/>
        <c:axId val="178300800"/>
        <c:axId val="178302336"/>
      </c:barChart>
      <c:catAx>
        <c:axId val="178300800"/>
        <c:scaling>
          <c:orientation val="minMax"/>
        </c:scaling>
        <c:delete val="0"/>
        <c:axPos val="b"/>
        <c:majorTickMark val="out"/>
        <c:minorTickMark val="none"/>
        <c:tickLblPos val="nextTo"/>
        <c:txPr>
          <a:bodyPr/>
          <a:lstStyle/>
          <a:p>
            <a:pPr>
              <a:defRPr sz="900"/>
            </a:pPr>
            <a:endParaRPr lang="en-US"/>
          </a:p>
        </c:txPr>
        <c:crossAx val="178302336"/>
        <c:crosses val="autoZero"/>
        <c:auto val="1"/>
        <c:lblAlgn val="ctr"/>
        <c:lblOffset val="100"/>
        <c:noMultiLvlLbl val="0"/>
      </c:catAx>
      <c:valAx>
        <c:axId val="178302336"/>
        <c:scaling>
          <c:orientation val="minMax"/>
        </c:scaling>
        <c:delete val="0"/>
        <c:axPos val="l"/>
        <c:title>
          <c:tx>
            <c:rich>
              <a:bodyPr rot="0" vert="horz"/>
              <a:lstStyle/>
              <a:p>
                <a:pPr>
                  <a:defRPr sz="900"/>
                </a:pPr>
                <a:r>
                  <a:rPr lang="en-GB" sz="900"/>
                  <a:t>%</a:t>
                </a:r>
              </a:p>
            </c:rich>
          </c:tx>
          <c:layout>
            <c:manualLayout>
              <c:xMode val="edge"/>
              <c:yMode val="edge"/>
              <c:x val="3.0609217171717446E-3"/>
              <c:y val="0.28898817880323246"/>
            </c:manualLayout>
          </c:layout>
          <c:overlay val="0"/>
        </c:title>
        <c:numFmt formatCode="0" sourceLinked="1"/>
        <c:majorTickMark val="out"/>
        <c:minorTickMark val="none"/>
        <c:tickLblPos val="nextTo"/>
        <c:txPr>
          <a:bodyPr/>
          <a:lstStyle/>
          <a:p>
            <a:pPr>
              <a:defRPr sz="900"/>
            </a:pPr>
            <a:endParaRPr lang="en-US"/>
          </a:p>
        </c:txPr>
        <c:crossAx val="178300800"/>
        <c:crosses val="autoZero"/>
        <c:crossBetween val="between"/>
        <c:majorUnit val="20"/>
      </c:valAx>
    </c:plotArea>
    <c:legend>
      <c:legendPos val="b"/>
      <c:layout>
        <c:manualLayout>
          <c:xMode val="edge"/>
          <c:yMode val="edge"/>
          <c:x val="0.37647743055555588"/>
          <c:y val="0.85815763888890062"/>
          <c:w val="0.30560451388889615"/>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Perceived risk of getting an STI by number of sexual partners</a:t>
            </a:r>
          </a:p>
        </c:rich>
      </c:tx>
      <c:layout>
        <c:manualLayout>
          <c:xMode val="edge"/>
          <c:yMode val="edge"/>
          <c:x val="7.3124999999999482E-4"/>
          <c:y val="0"/>
        </c:manualLayout>
      </c:layout>
      <c:overlay val="0"/>
    </c:title>
    <c:autoTitleDeleted val="0"/>
    <c:plotArea>
      <c:layout>
        <c:manualLayout>
          <c:layoutTarget val="inner"/>
          <c:xMode val="edge"/>
          <c:yMode val="edge"/>
          <c:x val="0.10724074074074091"/>
          <c:y val="0.12318803545783202"/>
          <c:w val="0.88834953703703701"/>
          <c:h val="0.64714108849601426"/>
        </c:manualLayout>
      </c:layout>
      <c:barChart>
        <c:barDir val="col"/>
        <c:grouping val="clustered"/>
        <c:varyColors val="0"/>
        <c:ser>
          <c:idx val="0"/>
          <c:order val="0"/>
          <c:tx>
            <c:strRef>
              <c:f>Sheet5!$J$36</c:f>
              <c:strCache>
                <c:ptCount val="1"/>
                <c:pt idx="0">
                  <c:v>Not at all at risk</c:v>
                </c:pt>
              </c:strCache>
            </c:strRef>
          </c:tx>
          <c:spPr>
            <a:solidFill>
              <a:srgbClr val="C0504D">
                <a:lumMod val="5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Sheet5!$K$35:$L$35</c:f>
              <c:strCache>
                <c:ptCount val="2"/>
                <c:pt idx="0">
                  <c:v>0-1 sexual partners</c:v>
                </c:pt>
                <c:pt idx="1">
                  <c:v>2 or more sexual partners</c:v>
                </c:pt>
              </c:strCache>
            </c:strRef>
          </c:cat>
          <c:val>
            <c:numRef>
              <c:f>Sheet5!$K$36:$L$36</c:f>
              <c:numCache>
                <c:formatCode>0</c:formatCode>
                <c:ptCount val="2"/>
                <c:pt idx="0">
                  <c:v>90.196873669484319</c:v>
                </c:pt>
                <c:pt idx="1">
                  <c:v>9.8031263305155907</c:v>
                </c:pt>
              </c:numCache>
            </c:numRef>
          </c:val>
        </c:ser>
        <c:ser>
          <c:idx val="1"/>
          <c:order val="1"/>
          <c:tx>
            <c:strRef>
              <c:f>Sheet5!$J$37</c:f>
              <c:strCache>
                <c:ptCount val="1"/>
                <c:pt idx="0">
                  <c:v>Not very much at risk</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Sheet5!$K$35:$L$35</c:f>
              <c:strCache>
                <c:ptCount val="2"/>
                <c:pt idx="0">
                  <c:v>0-1 sexual partners</c:v>
                </c:pt>
                <c:pt idx="1">
                  <c:v>2 or more sexual partners</c:v>
                </c:pt>
              </c:strCache>
            </c:strRef>
          </c:cat>
          <c:val>
            <c:numRef>
              <c:f>Sheet5!$K$37:$L$37</c:f>
              <c:numCache>
                <c:formatCode>0</c:formatCode>
                <c:ptCount val="2"/>
                <c:pt idx="0">
                  <c:v>68.26067860153475</c:v>
                </c:pt>
                <c:pt idx="1">
                  <c:v>31.739321398465389</c:v>
                </c:pt>
              </c:numCache>
            </c:numRef>
          </c:val>
        </c:ser>
        <c:ser>
          <c:idx val="2"/>
          <c:order val="2"/>
          <c:tx>
            <c:strRef>
              <c:f>Sheet5!$J$38</c:f>
              <c:strCache>
                <c:ptCount val="1"/>
                <c:pt idx="0">
                  <c:v>Greatly / Moderately at risk</c:v>
                </c:pt>
              </c:strCache>
            </c:strRef>
          </c:tx>
          <c:spPr>
            <a:solidFill>
              <a:srgbClr val="C0504D">
                <a:lumMod val="40000"/>
                <a:lumOff val="60000"/>
              </a:srgbClr>
            </a:solidFill>
            <a:ln>
              <a:solidFill>
                <a:srgbClr val="4F81BD">
                  <a:lumMod val="40000"/>
                  <a:lumOff val="60000"/>
                </a:srgbClr>
              </a:solidFill>
            </a:ln>
          </c:spPr>
          <c:invertIfNegative val="0"/>
          <c:dLbls>
            <c:txPr>
              <a:bodyPr/>
              <a:lstStyle/>
              <a:p>
                <a:pPr>
                  <a:defRPr sz="900"/>
                </a:pPr>
                <a:endParaRPr lang="en-US"/>
              </a:p>
            </c:txPr>
            <c:showLegendKey val="0"/>
            <c:showVal val="1"/>
            <c:showCatName val="0"/>
            <c:showSerName val="0"/>
            <c:showPercent val="0"/>
            <c:showBubbleSize val="0"/>
            <c:showLeaderLines val="0"/>
          </c:dLbls>
          <c:cat>
            <c:strRef>
              <c:f>Sheet5!$K$35:$L$35</c:f>
              <c:strCache>
                <c:ptCount val="2"/>
                <c:pt idx="0">
                  <c:v>0-1 sexual partners</c:v>
                </c:pt>
                <c:pt idx="1">
                  <c:v>2 or more sexual partners</c:v>
                </c:pt>
              </c:strCache>
            </c:strRef>
          </c:cat>
          <c:val>
            <c:numRef>
              <c:f>Sheet5!$K$38:$L$38</c:f>
              <c:numCache>
                <c:formatCode>0</c:formatCode>
                <c:ptCount val="2"/>
                <c:pt idx="0">
                  <c:v>40.269745284298963</c:v>
                </c:pt>
                <c:pt idx="1">
                  <c:v>59.730254715701108</c:v>
                </c:pt>
              </c:numCache>
            </c:numRef>
          </c:val>
        </c:ser>
        <c:dLbls>
          <c:showLegendKey val="0"/>
          <c:showVal val="1"/>
          <c:showCatName val="0"/>
          <c:showSerName val="0"/>
          <c:showPercent val="0"/>
          <c:showBubbleSize val="0"/>
        </c:dLbls>
        <c:gapWidth val="150"/>
        <c:axId val="178502272"/>
        <c:axId val="178508160"/>
      </c:barChart>
      <c:catAx>
        <c:axId val="178502272"/>
        <c:scaling>
          <c:orientation val="minMax"/>
        </c:scaling>
        <c:delete val="0"/>
        <c:axPos val="b"/>
        <c:majorTickMark val="out"/>
        <c:minorTickMark val="none"/>
        <c:tickLblPos val="nextTo"/>
        <c:txPr>
          <a:bodyPr/>
          <a:lstStyle/>
          <a:p>
            <a:pPr>
              <a:defRPr sz="900"/>
            </a:pPr>
            <a:endParaRPr lang="en-US"/>
          </a:p>
        </c:txPr>
        <c:crossAx val="178508160"/>
        <c:crosses val="autoZero"/>
        <c:auto val="1"/>
        <c:lblAlgn val="ctr"/>
        <c:lblOffset val="100"/>
        <c:noMultiLvlLbl val="0"/>
      </c:catAx>
      <c:valAx>
        <c:axId val="178508160"/>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502272"/>
        <c:crosses val="autoZero"/>
        <c:crossBetween val="between"/>
        <c:majorUnit val="20"/>
      </c:valAx>
    </c:plotArea>
    <c:legend>
      <c:legendPos val="b"/>
      <c:layout>
        <c:manualLayout>
          <c:xMode val="edge"/>
          <c:yMode val="edge"/>
          <c:x val="0"/>
          <c:y val="0.85815763888890062"/>
          <c:w val="0.99913037027918161"/>
          <c:h val="0.138177083333333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Perceived risk of getting an</a:t>
            </a:r>
            <a:r>
              <a:rPr lang="en-GB" sz="1000" baseline="0"/>
              <a:t> STI by reasons given</a:t>
            </a:r>
            <a:endParaRPr lang="en-GB" sz="1000"/>
          </a:p>
        </c:rich>
      </c:tx>
      <c:layout>
        <c:manualLayout>
          <c:xMode val="edge"/>
          <c:yMode val="edge"/>
          <c:x val="2.1275462962962819E-3"/>
          <c:y val="0"/>
        </c:manualLayout>
      </c:layout>
      <c:overlay val="0"/>
    </c:title>
    <c:autoTitleDeleted val="0"/>
    <c:plotArea>
      <c:layout>
        <c:manualLayout>
          <c:layoutTarget val="inner"/>
          <c:xMode val="edge"/>
          <c:yMode val="edge"/>
          <c:x val="8.9287731481481475E-2"/>
          <c:y val="0.10654237891737892"/>
          <c:w val="0.89665254629629632"/>
          <c:h val="0.56283048433048499"/>
        </c:manualLayout>
      </c:layout>
      <c:barChart>
        <c:barDir val="col"/>
        <c:grouping val="clustered"/>
        <c:varyColors val="0"/>
        <c:ser>
          <c:idx val="0"/>
          <c:order val="0"/>
          <c:tx>
            <c:strRef>
              <c:f>Sheet3!$B$17</c:f>
              <c:strCache>
                <c:ptCount val="1"/>
                <c:pt idx="0">
                  <c:v>Not at all at risk</c:v>
                </c:pt>
              </c:strCache>
            </c:strRef>
          </c:tx>
          <c:spPr>
            <a:solidFill>
              <a:schemeClr val="accent2">
                <a:lumMod val="50000"/>
              </a:scheme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Sheet3!$A$18:$A$22</c:f>
              <c:strCache>
                <c:ptCount val="5"/>
                <c:pt idx="0">
                  <c:v>I am married / I have one long term partner</c:v>
                </c:pt>
                <c:pt idx="1">
                  <c:v>I have had many previous partners</c:v>
                </c:pt>
                <c:pt idx="2">
                  <c:v>I do not use STI protection</c:v>
                </c:pt>
                <c:pt idx="3">
                  <c:v>I only use STI protection occasionally</c:v>
                </c:pt>
                <c:pt idx="4">
                  <c:v>I found out a previous partner had an STI</c:v>
                </c:pt>
              </c:strCache>
            </c:strRef>
          </c:cat>
          <c:val>
            <c:numRef>
              <c:f>Sheet3!$B$18:$B$22</c:f>
              <c:numCache>
                <c:formatCode>0</c:formatCode>
                <c:ptCount val="5"/>
                <c:pt idx="0">
                  <c:v>66.926036365840403</c:v>
                </c:pt>
                <c:pt idx="1">
                  <c:v>3.7316465981054248</c:v>
                </c:pt>
                <c:pt idx="2">
                  <c:v>2.4198690461180568</c:v>
                </c:pt>
                <c:pt idx="3">
                  <c:v>1.1604224417883</c:v>
                </c:pt>
                <c:pt idx="4">
                  <c:v>0.54885934407450065</c:v>
                </c:pt>
              </c:numCache>
            </c:numRef>
          </c:val>
        </c:ser>
        <c:ser>
          <c:idx val="1"/>
          <c:order val="1"/>
          <c:tx>
            <c:strRef>
              <c:f>Sheet3!$C$17</c:f>
              <c:strCache>
                <c:ptCount val="1"/>
                <c:pt idx="0">
                  <c:v>Not very much at risk</c:v>
                </c:pt>
              </c:strCache>
            </c:strRef>
          </c:tx>
          <c:spPr>
            <a:solidFill>
              <a:schemeClr val="accent2"/>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Sheet3!$A$18:$A$22</c:f>
              <c:strCache>
                <c:ptCount val="5"/>
                <c:pt idx="0">
                  <c:v>I am married / I have one long term partner</c:v>
                </c:pt>
                <c:pt idx="1">
                  <c:v>I have had many previous partners</c:v>
                </c:pt>
                <c:pt idx="2">
                  <c:v>I do not use STI protection</c:v>
                </c:pt>
                <c:pt idx="3">
                  <c:v>I only use STI protection occasionally</c:v>
                </c:pt>
                <c:pt idx="4">
                  <c:v>I found out a previous partner had an STI</c:v>
                </c:pt>
              </c:strCache>
            </c:strRef>
          </c:cat>
          <c:val>
            <c:numRef>
              <c:f>Sheet3!$C$18:$C$22</c:f>
              <c:numCache>
                <c:formatCode>0</c:formatCode>
                <c:ptCount val="5"/>
                <c:pt idx="0">
                  <c:v>36.426355689593187</c:v>
                </c:pt>
                <c:pt idx="1">
                  <c:v>4.8185444224675686</c:v>
                </c:pt>
                <c:pt idx="2">
                  <c:v>3.6787601527040401</c:v>
                </c:pt>
                <c:pt idx="3">
                  <c:v>7.4545998937196591</c:v>
                </c:pt>
                <c:pt idx="4">
                  <c:v>1.6729304900974638</c:v>
                </c:pt>
              </c:numCache>
            </c:numRef>
          </c:val>
        </c:ser>
        <c:ser>
          <c:idx val="2"/>
          <c:order val="2"/>
          <c:tx>
            <c:strRef>
              <c:f>Sheet3!$D$17</c:f>
              <c:strCache>
                <c:ptCount val="1"/>
                <c:pt idx="0">
                  <c:v>Greatly / Moderately at risk</c:v>
                </c:pt>
              </c:strCache>
            </c:strRef>
          </c:tx>
          <c:spPr>
            <a:solidFill>
              <a:schemeClr val="accent2">
                <a:lumMod val="40000"/>
                <a:lumOff val="60000"/>
              </a:schemeClr>
            </a:solidFill>
            <a:ln>
              <a:solidFill>
                <a:schemeClr val="accent1">
                  <a:lumMod val="40000"/>
                  <a:lumOff val="60000"/>
                </a:schemeClr>
              </a:solidFill>
            </a:ln>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Sheet3!$A$18:$A$22</c:f>
              <c:strCache>
                <c:ptCount val="5"/>
                <c:pt idx="0">
                  <c:v>I am married / I have one long term partner</c:v>
                </c:pt>
                <c:pt idx="1">
                  <c:v>I have had many previous partners</c:v>
                </c:pt>
                <c:pt idx="2">
                  <c:v>I do not use STI protection</c:v>
                </c:pt>
                <c:pt idx="3">
                  <c:v>I only use STI protection occasionally</c:v>
                </c:pt>
                <c:pt idx="4">
                  <c:v>I found out a previous partner had an STI</c:v>
                </c:pt>
              </c:strCache>
            </c:strRef>
          </c:cat>
          <c:val>
            <c:numRef>
              <c:f>Sheet3!$D$18:$D$22</c:f>
              <c:numCache>
                <c:formatCode>0</c:formatCode>
                <c:ptCount val="5"/>
                <c:pt idx="0">
                  <c:v>20.298843584742777</c:v>
                </c:pt>
                <c:pt idx="1">
                  <c:v>16.218967987442635</c:v>
                </c:pt>
                <c:pt idx="2">
                  <c:v>8.5819969682018815</c:v>
                </c:pt>
                <c:pt idx="3">
                  <c:v>18.707799663338989</c:v>
                </c:pt>
                <c:pt idx="4">
                  <c:v>6.0813117244427124</c:v>
                </c:pt>
              </c:numCache>
            </c:numRef>
          </c:val>
        </c:ser>
        <c:dLbls>
          <c:showLegendKey val="0"/>
          <c:showVal val="1"/>
          <c:showCatName val="0"/>
          <c:showSerName val="0"/>
          <c:showPercent val="0"/>
          <c:showBubbleSize val="0"/>
        </c:dLbls>
        <c:gapWidth val="150"/>
        <c:axId val="178425216"/>
        <c:axId val="178431104"/>
      </c:barChart>
      <c:catAx>
        <c:axId val="178425216"/>
        <c:scaling>
          <c:orientation val="minMax"/>
        </c:scaling>
        <c:delete val="0"/>
        <c:axPos val="b"/>
        <c:majorTickMark val="out"/>
        <c:minorTickMark val="none"/>
        <c:tickLblPos val="nextTo"/>
        <c:txPr>
          <a:bodyPr/>
          <a:lstStyle/>
          <a:p>
            <a:pPr>
              <a:defRPr sz="900"/>
            </a:pPr>
            <a:endParaRPr lang="en-US"/>
          </a:p>
        </c:txPr>
        <c:crossAx val="178431104"/>
        <c:crosses val="autoZero"/>
        <c:auto val="1"/>
        <c:lblAlgn val="ctr"/>
        <c:lblOffset val="100"/>
        <c:noMultiLvlLbl val="0"/>
      </c:catAx>
      <c:valAx>
        <c:axId val="178431104"/>
        <c:scaling>
          <c:orientation val="minMax"/>
        </c:scaling>
        <c:delete val="0"/>
        <c:axPos val="l"/>
        <c:title>
          <c:tx>
            <c:rich>
              <a:bodyPr rot="0" vert="horz"/>
              <a:lstStyle/>
              <a:p>
                <a:pPr>
                  <a:defRPr sz="900"/>
                </a:pPr>
                <a:r>
                  <a:rPr lang="en-GB" sz="900"/>
                  <a:t>%</a:t>
                </a:r>
              </a:p>
            </c:rich>
          </c:tx>
          <c:layout>
            <c:manualLayout>
              <c:xMode val="edge"/>
              <c:yMode val="edge"/>
              <c:x val="4.3749792851359572E-4"/>
              <c:y val="0.30343764155157094"/>
            </c:manualLayout>
          </c:layout>
          <c:overlay val="0"/>
        </c:title>
        <c:numFmt formatCode="0" sourceLinked="1"/>
        <c:majorTickMark val="out"/>
        <c:minorTickMark val="none"/>
        <c:tickLblPos val="nextTo"/>
        <c:txPr>
          <a:bodyPr/>
          <a:lstStyle/>
          <a:p>
            <a:pPr>
              <a:defRPr sz="900"/>
            </a:pPr>
            <a:endParaRPr lang="en-US"/>
          </a:p>
        </c:txPr>
        <c:crossAx val="178425216"/>
        <c:crosses val="autoZero"/>
        <c:crossBetween val="between"/>
      </c:valAx>
      <c:spPr>
        <a:ln>
          <a:noFill/>
        </a:ln>
      </c:spPr>
    </c:plotArea>
    <c:legend>
      <c:legendPos val="b"/>
      <c:layout>
        <c:manualLayout>
          <c:xMode val="edge"/>
          <c:yMode val="edge"/>
          <c:x val="0"/>
          <c:y val="0.88808325312041392"/>
          <c:w val="0.9960492611303926"/>
          <c:h val="0.1119083310978899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Those who sought advice on STIs by number of sexual partners</a:t>
            </a:r>
          </a:p>
        </c:rich>
      </c:tx>
      <c:layout>
        <c:manualLayout>
          <c:xMode val="edge"/>
          <c:yMode val="edge"/>
          <c:x val="2.6725403817914758E-3"/>
          <c:y val="0"/>
        </c:manualLayout>
      </c:layout>
      <c:overlay val="0"/>
    </c:title>
    <c:autoTitleDeleted val="0"/>
    <c:plotArea>
      <c:layout>
        <c:manualLayout>
          <c:layoutTarget val="inner"/>
          <c:xMode val="edge"/>
          <c:yMode val="edge"/>
          <c:x val="9.5522795333402896E-2"/>
          <c:y val="0.14789490740740763"/>
          <c:w val="0.90447720466659765"/>
          <c:h val="0.61733657407407405"/>
        </c:manualLayout>
      </c:layout>
      <c:barChart>
        <c:barDir val="col"/>
        <c:grouping val="clustered"/>
        <c:varyColors val="0"/>
        <c:ser>
          <c:idx val="0"/>
          <c:order val="0"/>
          <c:tx>
            <c:strRef>
              <c:f>Sheet5!$J$4</c:f>
              <c:strCache>
                <c:ptCount val="1"/>
                <c:pt idx="0">
                  <c:v>Sought information on STIs</c:v>
                </c:pt>
              </c:strCache>
            </c:strRef>
          </c:tx>
          <c:spPr>
            <a:solidFill>
              <a:srgbClr val="C0504D"/>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Sheet5!$K$3:$L$3</c:f>
              <c:strCache>
                <c:ptCount val="2"/>
                <c:pt idx="0">
                  <c:v>0-1 sexual partners</c:v>
                </c:pt>
                <c:pt idx="1">
                  <c:v>2 or more sexual partners</c:v>
                </c:pt>
              </c:strCache>
            </c:strRef>
          </c:cat>
          <c:val>
            <c:numRef>
              <c:f>Sheet5!$K$4:$L$4</c:f>
              <c:numCache>
                <c:formatCode>0</c:formatCode>
                <c:ptCount val="2"/>
                <c:pt idx="0">
                  <c:v>16.429897605347449</c:v>
                </c:pt>
                <c:pt idx="1">
                  <c:v>33.349905467279044</c:v>
                </c:pt>
              </c:numCache>
            </c:numRef>
          </c:val>
        </c:ser>
        <c:ser>
          <c:idx val="1"/>
          <c:order val="1"/>
          <c:tx>
            <c:strRef>
              <c:f>Sheet5!$J$5</c:f>
              <c:strCache>
                <c:ptCount val="1"/>
                <c:pt idx="0">
                  <c:v>Did not seek information on STIs</c:v>
                </c:pt>
              </c:strCache>
            </c:strRef>
          </c:tx>
          <c:spPr>
            <a:solidFill>
              <a:srgbClr val="C0504D">
                <a:lumMod val="40000"/>
                <a:lumOff val="60000"/>
              </a:srgb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Sheet5!$K$3:$L$3</c:f>
              <c:strCache>
                <c:ptCount val="2"/>
                <c:pt idx="0">
                  <c:v>0-1 sexual partners</c:v>
                </c:pt>
                <c:pt idx="1">
                  <c:v>2 or more sexual partners</c:v>
                </c:pt>
              </c:strCache>
            </c:strRef>
          </c:cat>
          <c:val>
            <c:numRef>
              <c:f>Sheet5!$K$5:$L$5</c:f>
              <c:numCache>
                <c:formatCode>0</c:formatCode>
                <c:ptCount val="2"/>
                <c:pt idx="0">
                  <c:v>83.570102394650448</c:v>
                </c:pt>
                <c:pt idx="1">
                  <c:v>66.65009453271874</c:v>
                </c:pt>
              </c:numCache>
            </c:numRef>
          </c:val>
        </c:ser>
        <c:dLbls>
          <c:showLegendKey val="0"/>
          <c:showVal val="1"/>
          <c:showCatName val="0"/>
          <c:showSerName val="0"/>
          <c:showPercent val="0"/>
          <c:showBubbleSize val="0"/>
        </c:dLbls>
        <c:gapWidth val="150"/>
        <c:axId val="178469888"/>
        <c:axId val="178549504"/>
      </c:barChart>
      <c:catAx>
        <c:axId val="178469888"/>
        <c:scaling>
          <c:orientation val="minMax"/>
        </c:scaling>
        <c:delete val="0"/>
        <c:axPos val="b"/>
        <c:majorTickMark val="out"/>
        <c:minorTickMark val="none"/>
        <c:tickLblPos val="nextTo"/>
        <c:txPr>
          <a:bodyPr/>
          <a:lstStyle/>
          <a:p>
            <a:pPr>
              <a:defRPr sz="900" baseline="0"/>
            </a:pPr>
            <a:endParaRPr lang="en-US"/>
          </a:p>
        </c:txPr>
        <c:crossAx val="178549504"/>
        <c:crosses val="autoZero"/>
        <c:auto val="1"/>
        <c:lblAlgn val="ctr"/>
        <c:lblOffset val="100"/>
        <c:noMultiLvlLbl val="0"/>
      </c:catAx>
      <c:valAx>
        <c:axId val="178549504"/>
        <c:scaling>
          <c:orientation val="minMax"/>
        </c:scaling>
        <c:delete val="0"/>
        <c:axPos val="l"/>
        <c:title>
          <c:tx>
            <c:rich>
              <a:bodyPr rot="0" vert="horz"/>
              <a:lstStyle/>
              <a:p>
                <a:pPr>
                  <a:defRPr sz="900"/>
                </a:pPr>
                <a:r>
                  <a:rPr lang="en-GB" sz="900"/>
                  <a:t>%</a:t>
                </a:r>
              </a:p>
            </c:rich>
          </c:tx>
          <c:overlay val="0"/>
        </c:title>
        <c:numFmt formatCode="0" sourceLinked="1"/>
        <c:majorTickMark val="out"/>
        <c:minorTickMark val="none"/>
        <c:tickLblPos val="nextTo"/>
        <c:txPr>
          <a:bodyPr/>
          <a:lstStyle/>
          <a:p>
            <a:pPr>
              <a:defRPr sz="900"/>
            </a:pPr>
            <a:endParaRPr lang="en-US"/>
          </a:p>
        </c:txPr>
        <c:crossAx val="178469888"/>
        <c:crosses val="autoZero"/>
        <c:crossBetween val="between"/>
        <c:majorUnit val="20"/>
      </c:valAx>
    </c:plotArea>
    <c:legend>
      <c:legendPos val="b"/>
      <c:layout>
        <c:manualLayout>
          <c:xMode val="edge"/>
          <c:yMode val="edge"/>
          <c:x val="3.57277348749927E-2"/>
          <c:y val="0.88488322603691349"/>
          <c:w val="0.93498925983620651"/>
          <c:h val="0.11145149249608986"/>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BA27C-D120-449A-BAD9-C9261D0F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DB35DD03.dotm</Template>
  <TotalTime>0</TotalTime>
  <Pages>47</Pages>
  <Words>26015</Words>
  <Characters>148288</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Health Survey Northern Ireland 2012/13</vt:lpstr>
    </vt:vector>
  </TitlesOfParts>
  <Company>IT Asist</Company>
  <LinksUpToDate>false</LinksUpToDate>
  <CharactersWithSpaces>173956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Survey Northern Ireland 2012/13</dc:title>
  <dc:creator>Deirdre Corrigan</dc:creator>
  <cp:lastModifiedBy>MNelson</cp:lastModifiedBy>
  <cp:revision>2</cp:revision>
  <cp:lastPrinted>2014-03-14T09:56:00Z</cp:lastPrinted>
  <dcterms:created xsi:type="dcterms:W3CDTF">2014-03-20T10:32:00Z</dcterms:created>
  <dcterms:modified xsi:type="dcterms:W3CDTF">2014-03-20T10:32:00Z</dcterms:modified>
</cp:coreProperties>
</file>