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64" w:rsidRDefault="00807EE1" w:rsidP="00C54858">
      <w:pPr>
        <w:pStyle w:val="A4eHeading1"/>
        <w:numPr>
          <w:ilvl w:val="0"/>
          <w:numId w:val="0"/>
        </w:numPr>
        <w:ind w:left="709"/>
      </w:pPr>
      <w:bookmarkStart w:id="0" w:name="_GoBack"/>
      <w:bookmarkEnd w:id="0"/>
      <w:r>
        <w:t>Social impact bonds</w:t>
      </w:r>
      <w:r w:rsidR="00720E64">
        <w:t>: a data g</w:t>
      </w:r>
      <w:r>
        <w:t>athering how-to guide for commissioners</w:t>
      </w:r>
    </w:p>
    <w:p w:rsidR="00720E64" w:rsidRPr="00EC1D27" w:rsidRDefault="00720E64" w:rsidP="00EC1D27">
      <w:pPr>
        <w:pStyle w:val="A4eHeading1"/>
      </w:pPr>
      <w:r w:rsidRPr="00EC1D27">
        <w:t>Disclaimer</w:t>
      </w:r>
    </w:p>
    <w:p w:rsidR="00720E64" w:rsidRDefault="00720E64" w:rsidP="00EC1D27">
      <w:pPr>
        <w:pStyle w:val="A4eNormal"/>
      </w:pPr>
      <w:r>
        <w:t>This how-to guide</w:t>
      </w:r>
      <w:r w:rsidR="00485A1B">
        <w:t xml:space="preserve"> and</w:t>
      </w:r>
      <w:r>
        <w:t xml:space="preserve"> the accompanying </w:t>
      </w:r>
      <w:r w:rsidR="00696BA4">
        <w:t xml:space="preserve">sample </w:t>
      </w:r>
      <w:r w:rsidR="00B175CC">
        <w:t xml:space="preserve">potential savings </w:t>
      </w:r>
      <w:r>
        <w:t>template</w:t>
      </w:r>
      <w:r w:rsidR="00485A1B">
        <w:t xml:space="preserve"> are</w:t>
      </w:r>
      <w:r>
        <w:t xml:space="preserve"> provided to </w:t>
      </w:r>
      <w:r w:rsidR="00807EE1">
        <w:t xml:space="preserve">commissioners </w:t>
      </w:r>
      <w:r>
        <w:t xml:space="preserve">as potentially useful tools in </w:t>
      </w:r>
      <w:r w:rsidR="007C1FAA">
        <w:t xml:space="preserve">designing </w:t>
      </w:r>
      <w:r w:rsidR="00FA0680">
        <w:t xml:space="preserve">payment by results </w:t>
      </w:r>
      <w:r w:rsidR="007A3473">
        <w:t>(</w:t>
      </w:r>
      <w:proofErr w:type="spellStart"/>
      <w:r w:rsidR="007A3473">
        <w:t>P</w:t>
      </w:r>
      <w:r w:rsidR="00833B80">
        <w:t>b</w:t>
      </w:r>
      <w:r w:rsidR="007A3473">
        <w:t>R</w:t>
      </w:r>
      <w:proofErr w:type="spellEnd"/>
      <w:r w:rsidR="007A3473">
        <w:t xml:space="preserve">) </w:t>
      </w:r>
      <w:r>
        <w:t>programmes</w:t>
      </w:r>
      <w:r w:rsidR="00FA0680">
        <w:t xml:space="preserve"> supported by</w:t>
      </w:r>
      <w:r w:rsidR="009C11FD">
        <w:t xml:space="preserve"> or </w:t>
      </w:r>
      <w:r w:rsidR="00FA0680">
        <w:t>paid for via</w:t>
      </w:r>
      <w:r w:rsidR="009C11FD">
        <w:t xml:space="preserve"> </w:t>
      </w:r>
      <w:r w:rsidR="00807EE1">
        <w:t>social impact bonds</w:t>
      </w:r>
      <w:r w:rsidR="000726B1">
        <w:t xml:space="preserve"> </w:t>
      </w:r>
      <w:r w:rsidR="00807EE1">
        <w:t>(SIBs)</w:t>
      </w:r>
      <w:r w:rsidR="00470F51">
        <w:t xml:space="preserve"> or similar instruments</w:t>
      </w:r>
      <w:r w:rsidR="007C1FAA">
        <w:t>,</w:t>
      </w:r>
      <w:r w:rsidR="00807EE1">
        <w:t xml:space="preserve"> </w:t>
      </w:r>
      <w:r w:rsidR="000726B1">
        <w:t xml:space="preserve">and in estimating </w:t>
      </w:r>
      <w:r w:rsidR="007C1FAA">
        <w:t xml:space="preserve">the </w:t>
      </w:r>
      <w:r w:rsidR="000726B1">
        <w:t>potential savings</w:t>
      </w:r>
      <w:r w:rsidR="007C1FAA">
        <w:t xml:space="preserve"> resulting from them</w:t>
      </w:r>
      <w:r>
        <w:t xml:space="preserve">. </w:t>
      </w:r>
    </w:p>
    <w:p w:rsidR="00720E64" w:rsidRDefault="00A71CD2" w:rsidP="00803651">
      <w:pPr>
        <w:pStyle w:val="A4eNormal"/>
      </w:pPr>
      <w:r>
        <w:t xml:space="preserve">These documents offer one suggested methodology for estimating the </w:t>
      </w:r>
      <w:r w:rsidR="00063C07">
        <w:t>savings</w:t>
      </w:r>
      <w:r>
        <w:t xml:space="preserve"> </w:t>
      </w:r>
      <w:r w:rsidR="00696BA4">
        <w:t xml:space="preserve">to the public sector </w:t>
      </w:r>
      <w:r>
        <w:t>of interventions designed to achieve specific social outcomes, including complex and overlapping outcomes</w:t>
      </w:r>
      <w:r w:rsidR="00696BA4">
        <w:t>. They</w:t>
      </w:r>
      <w:r>
        <w:t xml:space="preserve"> are based on an approach developed by the Cabinet Office with pilot local authorities</w:t>
      </w:r>
      <w:r w:rsidR="00696BA4">
        <w:t xml:space="preserve"> using the example of interventions for troubled families</w:t>
      </w:r>
      <w:r>
        <w:t xml:space="preserve">.  </w:t>
      </w:r>
      <w:r w:rsidR="00C0130E">
        <w:t>However</w:t>
      </w:r>
      <w:r w:rsidR="00470F51">
        <w:t xml:space="preserve"> </w:t>
      </w:r>
      <w:r w:rsidR="00C0130E">
        <w:t>c</w:t>
      </w:r>
      <w:r w:rsidR="00807EE1">
        <w:t>ommissioners</w:t>
      </w:r>
      <w:r w:rsidR="00720E64">
        <w:t xml:space="preserve"> will ultimately need to make their own decisions on how best to model their </w:t>
      </w:r>
      <w:r w:rsidR="00807EE1">
        <w:t xml:space="preserve">target </w:t>
      </w:r>
      <w:r w:rsidR="00720E64">
        <w:t>populations, associated costs and potential savings.</w:t>
      </w:r>
    </w:p>
    <w:p w:rsidR="00720E64" w:rsidRDefault="00720E64" w:rsidP="00EC1D27">
      <w:pPr>
        <w:pStyle w:val="A4eNormal"/>
      </w:pPr>
      <w:r>
        <w:t xml:space="preserve">In addition to this package of information, </w:t>
      </w:r>
      <w:r w:rsidR="00807EE1">
        <w:t>commissioners</w:t>
      </w:r>
      <w:r>
        <w:t xml:space="preserve"> are advised to review other sources of information and assistance</w:t>
      </w:r>
      <w:r w:rsidR="00C0130E">
        <w:t xml:space="preserve"> which might offer </w:t>
      </w:r>
      <w:r w:rsidR="00A71CD2">
        <w:t>alternative</w:t>
      </w:r>
      <w:r w:rsidR="00C0130E">
        <w:t xml:space="preserve"> or </w:t>
      </w:r>
      <w:r w:rsidR="00A71CD2">
        <w:t>complementary</w:t>
      </w:r>
      <w:r w:rsidR="00C0130E">
        <w:t xml:space="preserve"> approaches to the one outlined here</w:t>
      </w:r>
      <w:r>
        <w:t>.</w:t>
      </w:r>
    </w:p>
    <w:p w:rsidR="00720E64" w:rsidRPr="00EC1D27" w:rsidRDefault="00720E64" w:rsidP="00EC1D27">
      <w:pPr>
        <w:pStyle w:val="A4eHeading1"/>
      </w:pPr>
      <w:r w:rsidRPr="00EC1D27">
        <w:t>Introduction</w:t>
      </w:r>
    </w:p>
    <w:p w:rsidR="002759A9" w:rsidRDefault="002759A9" w:rsidP="002759A9">
      <w:pPr>
        <w:pStyle w:val="A4eNormal"/>
      </w:pPr>
      <w:r>
        <w:t>The</w:t>
      </w:r>
      <w:r w:rsidR="00B4527D">
        <w:t>se</w:t>
      </w:r>
      <w:r>
        <w:t xml:space="preserve"> </w:t>
      </w:r>
      <w:r w:rsidR="00F24B5D">
        <w:t>document</w:t>
      </w:r>
      <w:r w:rsidR="00B4527D">
        <w:t>s</w:t>
      </w:r>
      <w:r>
        <w:t xml:space="preserve"> </w:t>
      </w:r>
      <w:r w:rsidR="00B4527D">
        <w:t>could help commissioners:</w:t>
      </w:r>
    </w:p>
    <w:p w:rsidR="00AC5E69" w:rsidRDefault="001E1A19" w:rsidP="002759A9">
      <w:pPr>
        <w:pStyle w:val="A4eNormal"/>
        <w:numPr>
          <w:ilvl w:val="0"/>
          <w:numId w:val="5"/>
        </w:numPr>
      </w:pPr>
      <w:r>
        <w:t>i</w:t>
      </w:r>
      <w:r w:rsidR="002759A9">
        <w:t xml:space="preserve">dentify what outcomes they </w:t>
      </w:r>
      <w:r w:rsidR="00F24B5D">
        <w:t>wish to</w:t>
      </w:r>
      <w:r w:rsidR="002759A9">
        <w:t xml:space="preserve"> deliver</w:t>
      </w:r>
      <w:r w:rsidR="00B4527D">
        <w:t xml:space="preserve"> and/or base payments upon</w:t>
      </w:r>
      <w:r w:rsidR="002759A9">
        <w:t>;</w:t>
      </w:r>
    </w:p>
    <w:p w:rsidR="00B4527D" w:rsidRDefault="002759A9" w:rsidP="002759A9">
      <w:pPr>
        <w:pStyle w:val="A4eNormal"/>
        <w:numPr>
          <w:ilvl w:val="0"/>
          <w:numId w:val="5"/>
        </w:numPr>
      </w:pPr>
      <w:r>
        <w:t xml:space="preserve">estimate the </w:t>
      </w:r>
      <w:r w:rsidR="00A05626">
        <w:t xml:space="preserve">savings </w:t>
      </w:r>
      <w:r w:rsidR="00B4527D">
        <w:t xml:space="preserve">that </w:t>
      </w:r>
      <w:r w:rsidR="00A05626">
        <w:t>might</w:t>
      </w:r>
      <w:r>
        <w:t xml:space="preserve"> be generated </w:t>
      </w:r>
      <w:r w:rsidR="00696BA4">
        <w:t>as a result</w:t>
      </w:r>
      <w:r w:rsidR="00AC5E69">
        <w:t xml:space="preserve">; </w:t>
      </w:r>
    </w:p>
    <w:p w:rsidR="00B4527D" w:rsidRDefault="00B4527D" w:rsidP="002759A9">
      <w:pPr>
        <w:pStyle w:val="A4eNormal"/>
        <w:numPr>
          <w:ilvl w:val="0"/>
          <w:numId w:val="5"/>
        </w:numPr>
      </w:pPr>
      <w:r>
        <w:t>demonstrate benefits that accrue to other public sector organisations;</w:t>
      </w:r>
    </w:p>
    <w:p w:rsidR="00B4527D" w:rsidRDefault="00B4527D" w:rsidP="002759A9">
      <w:pPr>
        <w:pStyle w:val="A4eNormal"/>
        <w:numPr>
          <w:ilvl w:val="0"/>
          <w:numId w:val="5"/>
        </w:numPr>
      </w:pPr>
      <w:r>
        <w:t>budget for expected savings and additional funding that may be required;</w:t>
      </w:r>
    </w:p>
    <w:p w:rsidR="00B4527D" w:rsidRDefault="00B4527D" w:rsidP="002759A9">
      <w:pPr>
        <w:pStyle w:val="A4eNormal"/>
        <w:numPr>
          <w:ilvl w:val="0"/>
          <w:numId w:val="5"/>
        </w:numPr>
      </w:pPr>
      <w:r>
        <w:t>set appropriate payments for outcomes;</w:t>
      </w:r>
    </w:p>
    <w:p w:rsidR="00AC5E69" w:rsidRDefault="00B4527D" w:rsidP="002759A9">
      <w:pPr>
        <w:pStyle w:val="A4eNormal"/>
        <w:numPr>
          <w:ilvl w:val="0"/>
          <w:numId w:val="5"/>
        </w:numPr>
      </w:pPr>
      <w:r>
        <w:t xml:space="preserve">compare the savings that might be achieved for different cohorts or intervention points; </w:t>
      </w:r>
      <w:r w:rsidR="00AC5E69">
        <w:t>and</w:t>
      </w:r>
    </w:p>
    <w:p w:rsidR="002759A9" w:rsidRPr="00EC1D27" w:rsidRDefault="00AC5E69" w:rsidP="002759A9">
      <w:pPr>
        <w:pStyle w:val="A4eNormal"/>
        <w:numPr>
          <w:ilvl w:val="0"/>
          <w:numId w:val="5"/>
        </w:numPr>
      </w:pPr>
      <w:proofErr w:type="gramStart"/>
      <w:r>
        <w:t>move</w:t>
      </w:r>
      <w:proofErr w:type="gramEnd"/>
      <w:r>
        <w:t xml:space="preserve"> towards </w:t>
      </w:r>
      <w:r w:rsidR="00324AC9">
        <w:t>cross-cutting</w:t>
      </w:r>
      <w:r>
        <w:t xml:space="preserve"> and sustainable service re-design</w:t>
      </w:r>
      <w:r w:rsidR="002759A9">
        <w:t>.</w:t>
      </w:r>
    </w:p>
    <w:p w:rsidR="00720E64" w:rsidRDefault="00720E64" w:rsidP="00EC1D27">
      <w:pPr>
        <w:pStyle w:val="A4eNormal"/>
      </w:pPr>
      <w:r>
        <w:t xml:space="preserve">It should be noted that the quality of the output information can only be as good at the input, and </w:t>
      </w:r>
      <w:r w:rsidR="00807EE1">
        <w:t>commissioners</w:t>
      </w:r>
      <w:r>
        <w:t xml:space="preserve"> should not underestimate the amount of work involved in assembling good-quality data. </w:t>
      </w:r>
    </w:p>
    <w:p w:rsidR="00720E64" w:rsidRDefault="00720E64" w:rsidP="00D90931">
      <w:pPr>
        <w:pStyle w:val="A4eHeading1"/>
      </w:pPr>
      <w:r>
        <w:t>Structure of the template</w:t>
      </w:r>
    </w:p>
    <w:p w:rsidR="00C77E19" w:rsidRDefault="00720E64">
      <w:pPr>
        <w:pStyle w:val="A4eHeading2"/>
      </w:pPr>
      <w:r>
        <w:t>Overall principles</w:t>
      </w:r>
    </w:p>
    <w:p w:rsidR="00C00C5E" w:rsidRDefault="00833B80">
      <w:pPr>
        <w:pStyle w:val="A4eNormal"/>
      </w:pPr>
      <w:r>
        <w:t xml:space="preserve">Payments by commissioners in </w:t>
      </w:r>
      <w:r w:rsidR="00C0130E">
        <w:t xml:space="preserve">SIBs and </w:t>
      </w:r>
      <w:r>
        <w:t xml:space="preserve">other </w:t>
      </w:r>
      <w:proofErr w:type="spellStart"/>
      <w:r>
        <w:t>PbR</w:t>
      </w:r>
      <w:proofErr w:type="spellEnd"/>
      <w:r>
        <w:t xml:space="preserve"> savings </w:t>
      </w:r>
      <w:r w:rsidR="00A71CD2">
        <w:t>mechanisms</w:t>
      </w:r>
      <w:r w:rsidR="00C0130E">
        <w:t xml:space="preserve"> </w:t>
      </w:r>
      <w:r w:rsidR="00C00C5E">
        <w:t xml:space="preserve">usually </w:t>
      </w:r>
      <w:r w:rsidR="00C0130E">
        <w:t xml:space="preserve">depend on the </w:t>
      </w:r>
      <w:r w:rsidR="00A71CD2">
        <w:t>achievement</w:t>
      </w:r>
      <w:r w:rsidR="00C0130E">
        <w:t xml:space="preserve"> of improved </w:t>
      </w:r>
      <w:r w:rsidR="00A71CD2">
        <w:t>outcomes</w:t>
      </w:r>
      <w:r w:rsidR="00C0130E">
        <w:t xml:space="preserve"> </w:t>
      </w:r>
      <w:r w:rsidR="00A71CD2">
        <w:t>through</w:t>
      </w:r>
      <w:r w:rsidR="00C0130E">
        <w:t xml:space="preserve"> </w:t>
      </w:r>
      <w:r w:rsidR="00A71CD2">
        <w:t>interventions</w:t>
      </w:r>
      <w:r w:rsidR="00C0130E">
        <w:t xml:space="preserve"> and </w:t>
      </w:r>
      <w:r>
        <w:t xml:space="preserve">the corresponding </w:t>
      </w:r>
      <w:r>
        <w:lastRenderedPageBreak/>
        <w:t>reduction in</w:t>
      </w:r>
      <w:r w:rsidR="00C0130E">
        <w:t xml:space="preserve"> costs</w:t>
      </w:r>
      <w:r w:rsidR="00A71CD2">
        <w:t xml:space="preserve">.  </w:t>
      </w:r>
      <w:r w:rsidR="00C00C5E">
        <w:t xml:space="preserve">This means that any </w:t>
      </w:r>
      <w:r w:rsidR="00A71CD2">
        <w:t>commissioner</w:t>
      </w:r>
      <w:r w:rsidR="00C00C5E">
        <w:t xml:space="preserve"> </w:t>
      </w:r>
      <w:r w:rsidR="00A71CD2">
        <w:t>designing</w:t>
      </w:r>
      <w:r w:rsidR="00C00C5E">
        <w:t xml:space="preserve"> </w:t>
      </w:r>
      <w:r w:rsidR="00933DFD">
        <w:t xml:space="preserve">a </w:t>
      </w:r>
      <w:r w:rsidR="00C00C5E">
        <w:t xml:space="preserve">SIB or </w:t>
      </w:r>
      <w:r>
        <w:t>other</w:t>
      </w:r>
      <w:r w:rsidR="00C00C5E">
        <w:t xml:space="preserve"> </w:t>
      </w:r>
      <w:proofErr w:type="spellStart"/>
      <w:r w:rsidR="000146B4">
        <w:t>P</w:t>
      </w:r>
      <w:r>
        <w:t>b</w:t>
      </w:r>
      <w:r w:rsidR="000146B4">
        <w:t>R</w:t>
      </w:r>
      <w:proofErr w:type="spellEnd"/>
      <w:r w:rsidR="00C00C5E">
        <w:t xml:space="preserve"> </w:t>
      </w:r>
      <w:r>
        <w:t xml:space="preserve">savings </w:t>
      </w:r>
      <w:r w:rsidR="00C00C5E">
        <w:t>programme needs to:</w:t>
      </w:r>
    </w:p>
    <w:p w:rsidR="00AC3D52" w:rsidRDefault="00A71CD2">
      <w:pPr>
        <w:pStyle w:val="A4ebullsub1"/>
      </w:pPr>
      <w:r>
        <w:t>identify</w:t>
      </w:r>
      <w:r w:rsidR="00C00C5E">
        <w:t xml:space="preserve"> the outcomes that </w:t>
      </w:r>
      <w:r>
        <w:t>they</w:t>
      </w:r>
      <w:r w:rsidR="00C00C5E">
        <w:t xml:space="preserve"> </w:t>
      </w:r>
      <w:r>
        <w:t>wish</w:t>
      </w:r>
      <w:r w:rsidR="00C00C5E">
        <w:t xml:space="preserve"> to achieve; and</w:t>
      </w:r>
    </w:p>
    <w:p w:rsidR="00AC3D52" w:rsidRDefault="00A71CD2">
      <w:pPr>
        <w:pStyle w:val="A4ebullsub1"/>
      </w:pPr>
      <w:proofErr w:type="gramStart"/>
      <w:r>
        <w:t>estimate</w:t>
      </w:r>
      <w:proofErr w:type="gramEnd"/>
      <w:r w:rsidR="00C00C5E">
        <w:t xml:space="preserve"> whether the </w:t>
      </w:r>
      <w:r>
        <w:t>achievement of the outcome</w:t>
      </w:r>
      <w:r w:rsidR="00C00C5E">
        <w:t xml:space="preserve">s </w:t>
      </w:r>
      <w:r>
        <w:t>will</w:t>
      </w:r>
      <w:r w:rsidR="00C00C5E">
        <w:t xml:space="preserve"> save </w:t>
      </w:r>
      <w:r>
        <w:t>enough</w:t>
      </w:r>
      <w:r w:rsidR="00C00C5E">
        <w:t xml:space="preserve"> money to make the scheme viable.</w:t>
      </w:r>
    </w:p>
    <w:p w:rsidR="00C77E19" w:rsidRDefault="00C00C5E">
      <w:pPr>
        <w:pStyle w:val="A4eNormal"/>
      </w:pPr>
      <w:r>
        <w:t xml:space="preserve">The </w:t>
      </w:r>
      <w:r w:rsidR="00B175CC">
        <w:t xml:space="preserve">potential savings </w:t>
      </w:r>
      <w:r w:rsidR="00720E64">
        <w:t xml:space="preserve">template </w:t>
      </w:r>
      <w:r w:rsidR="00A71CD2">
        <w:t>provides</w:t>
      </w:r>
      <w:r>
        <w:t xml:space="preserve"> </w:t>
      </w:r>
      <w:r w:rsidR="00A71CD2">
        <w:t>a framework</w:t>
      </w:r>
      <w:r>
        <w:t xml:space="preserve"> for </w:t>
      </w:r>
      <w:r w:rsidR="00B175CC">
        <w:t xml:space="preserve">identifying </w:t>
      </w:r>
      <w:r w:rsidR="00A71CD2">
        <w:t>outcomes</w:t>
      </w:r>
      <w:r>
        <w:t xml:space="preserve"> and </w:t>
      </w:r>
      <w:r w:rsidR="00720E64">
        <w:t xml:space="preserve">collecting data </w:t>
      </w:r>
      <w:r w:rsidR="002B5C01">
        <w:t xml:space="preserve">on </w:t>
      </w:r>
      <w:r w:rsidR="00833B80">
        <w:t>how</w:t>
      </w:r>
      <w:r>
        <w:t xml:space="preserve"> those </w:t>
      </w:r>
      <w:r w:rsidR="00720E64">
        <w:t>outcomes</w:t>
      </w:r>
      <w:r w:rsidR="00833B80">
        <w:t xml:space="preserve"> can change</w:t>
      </w:r>
      <w:r>
        <w:t xml:space="preserve"> and how costs are </w:t>
      </w:r>
      <w:r w:rsidR="00A71CD2">
        <w:t>affected</w:t>
      </w:r>
      <w:r>
        <w:t xml:space="preserve"> </w:t>
      </w:r>
      <w:r w:rsidR="00720E64">
        <w:t xml:space="preserve">when </w:t>
      </w:r>
      <w:r w:rsidR="00807EE1">
        <w:t>an</w:t>
      </w:r>
      <w:r w:rsidR="00720E64">
        <w:t xml:space="preserve"> intervention takes place. </w:t>
      </w:r>
      <w:r w:rsidR="00C0130E">
        <w:t xml:space="preserve"> </w:t>
      </w:r>
      <w:r w:rsidR="00720E64">
        <w:t xml:space="preserve">By collecting data in the form set out in the template, </w:t>
      </w:r>
      <w:r w:rsidR="00807EE1">
        <w:t>commissioners</w:t>
      </w:r>
      <w:r w:rsidR="00720E64">
        <w:t xml:space="preserve"> </w:t>
      </w:r>
      <w:r w:rsidR="00A71CD2">
        <w:t>should</w:t>
      </w:r>
      <w:r w:rsidR="00720E64">
        <w:t xml:space="preserve"> have the minimum data they need in a suitable format to be able to populate </w:t>
      </w:r>
      <w:r w:rsidR="00485A1B">
        <w:t>a</w:t>
      </w:r>
      <w:r w:rsidR="00720E64">
        <w:t xml:space="preserve"> financial model</w:t>
      </w:r>
      <w:r w:rsidR="00C0130E">
        <w:t xml:space="preserve"> </w:t>
      </w:r>
      <w:r w:rsidR="00B175CC">
        <w:t>with potential</w:t>
      </w:r>
      <w:r w:rsidR="00577997">
        <w:t xml:space="preserve"> fiscal</w:t>
      </w:r>
      <w:r>
        <w:t xml:space="preserve"> </w:t>
      </w:r>
      <w:r w:rsidR="00A71CD2">
        <w:t>savings</w:t>
      </w:r>
      <w:r w:rsidR="000F3230">
        <w:t>.</w:t>
      </w:r>
    </w:p>
    <w:p w:rsidR="00720E64" w:rsidRDefault="00807EE1" w:rsidP="00C8211E">
      <w:pPr>
        <w:pStyle w:val="A4eHeading2"/>
      </w:pPr>
      <w:r>
        <w:t>Sample main</w:t>
      </w:r>
      <w:r w:rsidR="00720E64">
        <w:t xml:space="preserve"> outcomes</w:t>
      </w:r>
    </w:p>
    <w:p w:rsidR="00720E64" w:rsidRDefault="00720E64" w:rsidP="00C8211E">
      <w:pPr>
        <w:pStyle w:val="A4eNormal"/>
      </w:pPr>
      <w:r>
        <w:t xml:space="preserve">The template is based on six high-level </w:t>
      </w:r>
      <w:r w:rsidR="00807EE1">
        <w:t xml:space="preserve">social </w:t>
      </w:r>
      <w:r w:rsidR="00545BD3">
        <w:t>issues</w:t>
      </w:r>
      <w:r w:rsidR="00807EE1">
        <w:t>, intended as examples of the areas which SIB</w:t>
      </w:r>
      <w:r w:rsidR="007A3473">
        <w:t xml:space="preserve">-funded </w:t>
      </w:r>
      <w:r w:rsidR="00807EE1">
        <w:t xml:space="preserve">interventions </w:t>
      </w:r>
      <w:r w:rsidR="00A71CD2">
        <w:t>might</w:t>
      </w:r>
      <w:r w:rsidR="00C00C5E">
        <w:t xml:space="preserve"> typically</w:t>
      </w:r>
      <w:r w:rsidR="00807EE1">
        <w:t xml:space="preserve"> target</w:t>
      </w:r>
      <w:r w:rsidR="00A71CD2">
        <w:t xml:space="preserve">.  </w:t>
      </w:r>
      <w:r w:rsidR="00B175CC">
        <w:t xml:space="preserve">They were developed for use with troubled families, but will be relevant for many other cohorts. </w:t>
      </w:r>
      <w:r>
        <w:t>Listed in successive rows in the template, these are:</w:t>
      </w:r>
    </w:p>
    <w:p w:rsidR="00720E64" w:rsidRPr="000146B4" w:rsidRDefault="00B175CC" w:rsidP="00C8211E">
      <w:pPr>
        <w:pStyle w:val="A4eNormal"/>
        <w:numPr>
          <w:ilvl w:val="0"/>
          <w:numId w:val="5"/>
        </w:numPr>
      </w:pPr>
      <w:r>
        <w:t xml:space="preserve">risk of harm to </w:t>
      </w:r>
      <w:r w:rsidR="00A06D82" w:rsidRPr="00A06D82">
        <w:t>children;</w:t>
      </w:r>
    </w:p>
    <w:p w:rsidR="00720E64" w:rsidRPr="000146B4" w:rsidRDefault="00A06D82" w:rsidP="00C8211E">
      <w:pPr>
        <w:pStyle w:val="A4eNormal"/>
        <w:numPr>
          <w:ilvl w:val="0"/>
          <w:numId w:val="5"/>
        </w:numPr>
      </w:pPr>
      <w:r w:rsidRPr="00A06D82">
        <w:t>crime and anti-social behaviour;</w:t>
      </w:r>
    </w:p>
    <w:p w:rsidR="00720E64" w:rsidRPr="000146B4" w:rsidRDefault="00B175CC" w:rsidP="00C8211E">
      <w:pPr>
        <w:pStyle w:val="A4eNormal"/>
        <w:numPr>
          <w:ilvl w:val="0"/>
          <w:numId w:val="5"/>
        </w:numPr>
      </w:pPr>
      <w:r>
        <w:t>a</w:t>
      </w:r>
      <w:r w:rsidRPr="00B175CC">
        <w:t>ttendance and behaviour at school</w:t>
      </w:r>
      <w:r w:rsidR="00A06D82" w:rsidRPr="00A06D82">
        <w:t>;</w:t>
      </w:r>
    </w:p>
    <w:p w:rsidR="00720E64" w:rsidRPr="000146B4" w:rsidRDefault="00B175CC" w:rsidP="00C8211E">
      <w:pPr>
        <w:pStyle w:val="A4eNormal"/>
        <w:numPr>
          <w:ilvl w:val="0"/>
          <w:numId w:val="5"/>
        </w:numPr>
      </w:pPr>
      <w:r>
        <w:t xml:space="preserve">stable </w:t>
      </w:r>
      <w:r w:rsidR="00A06D82" w:rsidRPr="00A06D82">
        <w:t>housing;</w:t>
      </w:r>
    </w:p>
    <w:p w:rsidR="000336F2" w:rsidRPr="000146B4" w:rsidRDefault="00B175CC" w:rsidP="00C8211E">
      <w:pPr>
        <w:pStyle w:val="A4eNormal"/>
        <w:numPr>
          <w:ilvl w:val="0"/>
          <w:numId w:val="5"/>
        </w:numPr>
      </w:pPr>
      <w:r>
        <w:t xml:space="preserve">physical and mental </w:t>
      </w:r>
      <w:r w:rsidR="00A06D82" w:rsidRPr="00A06D82">
        <w:t>health; and</w:t>
      </w:r>
    </w:p>
    <w:p w:rsidR="00720E64" w:rsidRPr="000146B4" w:rsidRDefault="00782023" w:rsidP="00C8211E">
      <w:pPr>
        <w:pStyle w:val="A4eNormal"/>
        <w:numPr>
          <w:ilvl w:val="0"/>
          <w:numId w:val="5"/>
        </w:numPr>
      </w:pPr>
      <w:proofErr w:type="gramStart"/>
      <w:r>
        <w:t>engagement</w:t>
      </w:r>
      <w:proofErr w:type="gramEnd"/>
      <w:r>
        <w:t xml:space="preserve"> in </w:t>
      </w:r>
      <w:r w:rsidR="00A06D82" w:rsidRPr="00A06D82">
        <w:t>employment</w:t>
      </w:r>
      <w:r>
        <w:t>, education or training</w:t>
      </w:r>
      <w:r w:rsidR="00A06D82" w:rsidRPr="00A06D82">
        <w:t>.</w:t>
      </w:r>
    </w:p>
    <w:p w:rsidR="00720E64" w:rsidRDefault="00A71CD2" w:rsidP="00C8211E">
      <w:pPr>
        <w:pStyle w:val="A4eNormal"/>
      </w:pPr>
      <w:r>
        <w:t xml:space="preserve">These six high-level </w:t>
      </w:r>
      <w:r w:rsidR="00663C07">
        <w:t xml:space="preserve">areas </w:t>
      </w:r>
      <w:r>
        <w:t>do not constitute an exhaustive list of possible outcomes, and exclude some which commissioner</w:t>
      </w:r>
      <w:r w:rsidR="009C11FD">
        <w:t>s</w:t>
      </w:r>
      <w:r>
        <w:t xml:space="preserve"> may wish to target.  However</w:t>
      </w:r>
      <w:r w:rsidR="00577997">
        <w:t>,</w:t>
      </w:r>
      <w:r w:rsidR="00C00C5E">
        <w:t xml:space="preserve"> they should help </w:t>
      </w:r>
      <w:r>
        <w:t>commissioners</w:t>
      </w:r>
      <w:r w:rsidR="00C00C5E">
        <w:t xml:space="preserve"> understand </w:t>
      </w:r>
      <w:r>
        <w:t>how</w:t>
      </w:r>
      <w:r w:rsidR="00C00C5E">
        <w:t xml:space="preserve"> to apply a </w:t>
      </w:r>
      <w:r>
        <w:t>similar</w:t>
      </w:r>
      <w:r w:rsidR="00C00C5E">
        <w:t xml:space="preserve"> approach </w:t>
      </w:r>
      <w:r>
        <w:t>to other</w:t>
      </w:r>
      <w:r w:rsidR="00C00C5E">
        <w:t xml:space="preserve"> social areas</w:t>
      </w:r>
      <w:r w:rsidR="009C11FD">
        <w:t>.</w:t>
      </w:r>
    </w:p>
    <w:p w:rsidR="00720E64" w:rsidRDefault="00720E64" w:rsidP="00C54858">
      <w:pPr>
        <w:pStyle w:val="A4eHeading2"/>
      </w:pPr>
      <w:r>
        <w:t xml:space="preserve">Categories and detailed </w:t>
      </w:r>
      <w:r w:rsidR="00545BD3">
        <w:t>indicators</w:t>
      </w:r>
    </w:p>
    <w:p w:rsidR="00E934DD" w:rsidRDefault="00A71CD2" w:rsidP="00C8211E">
      <w:pPr>
        <w:pStyle w:val="A4eNormal"/>
      </w:pPr>
      <w:r>
        <w:t xml:space="preserve">The main outcomes shown in the template are </w:t>
      </w:r>
      <w:r w:rsidR="004314E7">
        <w:t xml:space="preserve">representative </w:t>
      </w:r>
      <w:r>
        <w:t xml:space="preserve">of the </w:t>
      </w:r>
      <w:r w:rsidR="004314E7">
        <w:t>sorts</w:t>
      </w:r>
      <w:r>
        <w:t xml:space="preserve"> of high</w:t>
      </w:r>
      <w:r w:rsidR="00663C07">
        <w:t>-</w:t>
      </w:r>
      <w:r>
        <w:t>level outcome</w:t>
      </w:r>
      <w:r w:rsidR="00663C07">
        <w:t>s</w:t>
      </w:r>
      <w:r>
        <w:t xml:space="preserve"> typically identified by policy makers.  However such outcomes are general in scope and cannot normally be specified or measured directly for the purposes of designing a SIB or PBR scheme, or managing the performance of those providing interventions (providers).  </w:t>
      </w:r>
      <w:r w:rsidR="00720E64">
        <w:t xml:space="preserve">Therefore, </w:t>
      </w:r>
      <w:r w:rsidR="00E934DD">
        <w:t xml:space="preserve">within each main outcome, </w:t>
      </w:r>
      <w:r w:rsidR="00657368">
        <w:t>commissioners</w:t>
      </w:r>
      <w:r w:rsidR="00720E64">
        <w:t xml:space="preserve"> will need to identify</w:t>
      </w:r>
      <w:r w:rsidR="00E934DD">
        <w:t>:</w:t>
      </w:r>
    </w:p>
    <w:p w:rsidR="00E934DD" w:rsidRDefault="00782023" w:rsidP="00E934DD">
      <w:pPr>
        <w:pStyle w:val="A4eNormal"/>
        <w:numPr>
          <w:ilvl w:val="0"/>
          <w:numId w:val="30"/>
        </w:numPr>
      </w:pPr>
      <w:r>
        <w:t xml:space="preserve">public </w:t>
      </w:r>
      <w:r w:rsidR="00D86AE5">
        <w:t>service areas within which the outcomes fall</w:t>
      </w:r>
      <w:r w:rsidR="00E934DD">
        <w:t>;</w:t>
      </w:r>
      <w:r w:rsidR="00720E64">
        <w:t xml:space="preserve"> and</w:t>
      </w:r>
    </w:p>
    <w:p w:rsidR="00E934DD" w:rsidRDefault="00A71CD2" w:rsidP="00E934DD">
      <w:pPr>
        <w:pStyle w:val="A4eNormal"/>
        <w:numPr>
          <w:ilvl w:val="0"/>
          <w:numId w:val="30"/>
        </w:numPr>
      </w:pPr>
      <w:proofErr w:type="gramStart"/>
      <w:r>
        <w:t>detailed</w:t>
      </w:r>
      <w:proofErr w:type="gramEnd"/>
      <w:r>
        <w:t xml:space="preserve"> </w:t>
      </w:r>
      <w:r w:rsidR="00782023">
        <w:t>indicators</w:t>
      </w:r>
      <w:r>
        <w:t xml:space="preserve"> which can be specified and measured</w:t>
      </w:r>
      <w:r w:rsidR="00663C07">
        <w:t xml:space="preserve"> </w:t>
      </w:r>
      <w:r>
        <w:t xml:space="preserve">and </w:t>
      </w:r>
      <w:r w:rsidR="000146B4">
        <w:t xml:space="preserve">the </w:t>
      </w:r>
      <w:r>
        <w:t xml:space="preserve">achievement </w:t>
      </w:r>
      <w:r w:rsidR="000146B4">
        <w:t xml:space="preserve">of which </w:t>
      </w:r>
      <w:r>
        <w:t>will contribute to (or act as proxy measures for) the achievement of the overall outcome.</w:t>
      </w:r>
    </w:p>
    <w:p w:rsidR="00D658D0" w:rsidRDefault="00720E64" w:rsidP="00C8211E">
      <w:pPr>
        <w:pStyle w:val="A4eNormal"/>
      </w:pPr>
      <w:r>
        <w:t xml:space="preserve">The </w:t>
      </w:r>
      <w:r w:rsidR="00782023">
        <w:t>public service areas</w:t>
      </w:r>
      <w:r>
        <w:t xml:space="preserve"> and </w:t>
      </w:r>
      <w:r w:rsidR="00782023">
        <w:t>indicators</w:t>
      </w:r>
      <w:r>
        <w:t xml:space="preserve"> shown in the template are indicative of the sorts of measures which </w:t>
      </w:r>
      <w:r w:rsidR="00657368">
        <w:t>commissioners</w:t>
      </w:r>
      <w:r>
        <w:t xml:space="preserve"> might arrive at through this process.</w:t>
      </w:r>
      <w:r w:rsidR="007A3473">
        <w:t xml:space="preserve"> </w:t>
      </w:r>
      <w:r>
        <w:t xml:space="preserve"> </w:t>
      </w:r>
      <w:r w:rsidR="00A71CD2" w:rsidRPr="008C13BA">
        <w:rPr>
          <w:b/>
        </w:rPr>
        <w:t>However</w:t>
      </w:r>
      <w:r w:rsidR="00A71CD2">
        <w:rPr>
          <w:b/>
        </w:rPr>
        <w:t>,</w:t>
      </w:r>
      <w:r w:rsidR="00A71CD2" w:rsidRPr="000F07A3">
        <w:rPr>
          <w:b/>
        </w:rPr>
        <w:t xml:space="preserve"> they are </w:t>
      </w:r>
      <w:r w:rsidR="00A71CD2" w:rsidRPr="000F07A3">
        <w:rPr>
          <w:b/>
        </w:rPr>
        <w:lastRenderedPageBreak/>
        <w:t>presented only as suggestions</w:t>
      </w:r>
      <w:r w:rsidR="00A71CD2">
        <w:rPr>
          <w:b/>
        </w:rPr>
        <w:t xml:space="preserve"> and indications of the types of measures which might be arrived at</w:t>
      </w:r>
      <w:r w:rsidR="00A71CD2" w:rsidRPr="000F07A3">
        <w:rPr>
          <w:b/>
        </w:rPr>
        <w:t>, and not as a list which is recommended or mandated</w:t>
      </w:r>
      <w:r w:rsidR="00A71CD2">
        <w:rPr>
          <w:b/>
        </w:rPr>
        <w:t>.</w:t>
      </w:r>
      <w:r w:rsidR="00A71CD2">
        <w:t xml:space="preserve">  </w:t>
      </w:r>
      <w:r>
        <w:t xml:space="preserve">The categories and measures used should reflect </w:t>
      </w:r>
      <w:r w:rsidR="00657368">
        <w:t>specific</w:t>
      </w:r>
      <w:r>
        <w:t xml:space="preserve"> circumstances and preferences, and each </w:t>
      </w:r>
      <w:r w:rsidR="00657368">
        <w:t>commissioner</w:t>
      </w:r>
      <w:r>
        <w:t xml:space="preserve"> should consider which measures it wishes to use accordingly.</w:t>
      </w:r>
    </w:p>
    <w:p w:rsidR="00720E64" w:rsidRDefault="00D658D0" w:rsidP="00C8211E">
      <w:pPr>
        <w:pStyle w:val="A4eNormal"/>
      </w:pPr>
      <w:r>
        <w:t xml:space="preserve">While consideration of all potential areas of interest is useful in the initial analysis, </w:t>
      </w:r>
      <w:r w:rsidR="00657368">
        <w:t>commissioners</w:t>
      </w:r>
      <w:r>
        <w:t xml:space="preserve"> should be wary of selecting</w:t>
      </w:r>
      <w:r w:rsidR="00841F54">
        <w:t xml:space="preserve"> too many</w:t>
      </w:r>
      <w:r>
        <w:t xml:space="preserve"> </w:t>
      </w:r>
      <w:r w:rsidR="00782023">
        <w:t>indicators upon which to base their payments and savings</w:t>
      </w:r>
      <w:r w:rsidR="00C63C08">
        <w:t xml:space="preserve"> assumptions</w:t>
      </w:r>
      <w:r>
        <w:t xml:space="preserve">. </w:t>
      </w:r>
      <w:r w:rsidR="007A3473">
        <w:t xml:space="preserve"> </w:t>
      </w:r>
      <w:r w:rsidR="00C63C08">
        <w:t xml:space="preserve">Each additional indicator </w:t>
      </w:r>
      <w:r w:rsidR="009858AD">
        <w:t>requires involvement and analysis of</w:t>
      </w:r>
      <w:r w:rsidR="00C63C08">
        <w:t xml:space="preserve"> another area of the public service, the data they collect and the program</w:t>
      </w:r>
      <w:r w:rsidR="004314E7">
        <w:t>me</w:t>
      </w:r>
      <w:r w:rsidR="00C63C08">
        <w:t>s they run.</w:t>
      </w:r>
    </w:p>
    <w:p w:rsidR="00720E64" w:rsidRDefault="00720E64" w:rsidP="00C8211E">
      <w:pPr>
        <w:pStyle w:val="A4eNormal"/>
      </w:pPr>
      <w:r>
        <w:t xml:space="preserve">In developing their own list of outcomes, </w:t>
      </w:r>
      <w:r w:rsidR="00657368">
        <w:t>commissioners</w:t>
      </w:r>
      <w:r>
        <w:t xml:space="preserve"> might wish to consider the following key questions:</w:t>
      </w:r>
    </w:p>
    <w:p w:rsidR="00720E64" w:rsidRDefault="00720E64" w:rsidP="00C54858">
      <w:pPr>
        <w:pStyle w:val="A4eNormal"/>
        <w:numPr>
          <w:ilvl w:val="0"/>
          <w:numId w:val="8"/>
        </w:numPr>
      </w:pPr>
      <w:proofErr w:type="gramStart"/>
      <w:r>
        <w:t>can</w:t>
      </w:r>
      <w:proofErr w:type="gramEnd"/>
      <w:r>
        <w:t xml:space="preserve"> the outcome be measured with relative ease and accuracy?</w:t>
      </w:r>
    </w:p>
    <w:p w:rsidR="00C053CD" w:rsidRDefault="00C053CD" w:rsidP="00C54858">
      <w:pPr>
        <w:pStyle w:val="A4eNormal"/>
        <w:numPr>
          <w:ilvl w:val="0"/>
          <w:numId w:val="8"/>
        </w:numPr>
      </w:pPr>
      <w:proofErr w:type="gramStart"/>
      <w:r>
        <w:t>can</w:t>
      </w:r>
      <w:proofErr w:type="gramEnd"/>
      <w:r>
        <w:t xml:space="preserve"> the outcome be linked directly to some kind of intervention?</w:t>
      </w:r>
    </w:p>
    <w:p w:rsidR="00720E64" w:rsidRDefault="00720E64" w:rsidP="00C54858">
      <w:pPr>
        <w:pStyle w:val="A4eNormal"/>
        <w:numPr>
          <w:ilvl w:val="0"/>
          <w:numId w:val="8"/>
        </w:numPr>
      </w:pPr>
      <w:proofErr w:type="gramStart"/>
      <w:r>
        <w:t>does</w:t>
      </w:r>
      <w:proofErr w:type="gramEnd"/>
      <w:r>
        <w:t xml:space="preserve"> </w:t>
      </w:r>
      <w:r w:rsidR="009858AD">
        <w:t>reduction</w:t>
      </w:r>
      <w:r>
        <w:t xml:space="preserve"> of a negative outcome (or achievement of a positive one)</w:t>
      </w:r>
      <w:r w:rsidRPr="006654B2">
        <w:t xml:space="preserve"> </w:t>
      </w:r>
      <w:r>
        <w:t xml:space="preserve">contribute to desirable social objectives? </w:t>
      </w:r>
    </w:p>
    <w:p w:rsidR="00720E64" w:rsidRDefault="00720E64" w:rsidP="00C54858">
      <w:pPr>
        <w:pStyle w:val="A4eNormal"/>
        <w:numPr>
          <w:ilvl w:val="0"/>
          <w:numId w:val="8"/>
        </w:numPr>
      </w:pPr>
      <w:proofErr w:type="gramStart"/>
      <w:r>
        <w:t>does</w:t>
      </w:r>
      <w:proofErr w:type="gramEnd"/>
      <w:r>
        <w:t xml:space="preserve"> </w:t>
      </w:r>
      <w:r w:rsidR="009925EE">
        <w:t xml:space="preserve">avoidance / </w:t>
      </w:r>
      <w:r>
        <w:t xml:space="preserve">achievement of the outcome save money, either by directly reducing costs or </w:t>
      </w:r>
      <w:r w:rsidR="00D658D0">
        <w:t xml:space="preserve">by </w:t>
      </w:r>
      <w:r>
        <w:t>avoiding likely future cost?</w:t>
      </w:r>
    </w:p>
    <w:p w:rsidR="008B3082" w:rsidRDefault="00720E64" w:rsidP="00D008E2">
      <w:pPr>
        <w:pStyle w:val="A4eNormal"/>
        <w:numPr>
          <w:ilvl w:val="0"/>
          <w:numId w:val="8"/>
        </w:numPr>
        <w:spacing w:after="0" w:line="240" w:lineRule="auto"/>
      </w:pPr>
      <w:proofErr w:type="gramStart"/>
      <w:r>
        <w:t>can</w:t>
      </w:r>
      <w:proofErr w:type="gramEnd"/>
      <w:r>
        <w:t xml:space="preserve"> the money thus saved be </w:t>
      </w:r>
      <w:r w:rsidR="000F3230">
        <w:t>realised</w:t>
      </w:r>
      <w:r w:rsidR="00D658D0">
        <w:t>,</w:t>
      </w:r>
      <w:r w:rsidR="000F3230">
        <w:t xml:space="preserve"> and is it therefore </w:t>
      </w:r>
      <w:r>
        <w:t>cashable?</w:t>
      </w:r>
    </w:p>
    <w:p w:rsidR="00720E64" w:rsidRDefault="00720E64" w:rsidP="00AD0B1B">
      <w:pPr>
        <w:pStyle w:val="A4eHeading2"/>
      </w:pPr>
      <w:r>
        <w:t>The ‘financial equation’</w:t>
      </w:r>
    </w:p>
    <w:p w:rsidR="00720E64" w:rsidRDefault="00720E64" w:rsidP="00C8211E">
      <w:pPr>
        <w:pStyle w:val="A4eNormal"/>
      </w:pPr>
      <w:r>
        <w:t xml:space="preserve">In order to populate the template in sufficient detail to understand the potential savings associated with achieving each of the detailed </w:t>
      </w:r>
      <w:r w:rsidR="00DE63AA">
        <w:t>indicators</w:t>
      </w:r>
      <w:r>
        <w:t>, six key pieces of information are required:</w:t>
      </w:r>
    </w:p>
    <w:p w:rsidR="00720E64" w:rsidRDefault="005A3D27" w:rsidP="00AD0B1B">
      <w:pPr>
        <w:pStyle w:val="A4eNormal"/>
        <w:numPr>
          <w:ilvl w:val="0"/>
          <w:numId w:val="9"/>
        </w:numPr>
      </w:pPr>
      <w:r>
        <w:t>t</w:t>
      </w:r>
      <w:r w:rsidR="00D96081">
        <w:t>he current or expected future cost of services prior to intervention</w:t>
      </w:r>
      <w:r w:rsidR="00720E64">
        <w:t>;</w:t>
      </w:r>
    </w:p>
    <w:p w:rsidR="00720E64" w:rsidRDefault="00720E64" w:rsidP="00AD0B1B">
      <w:pPr>
        <w:pStyle w:val="A4eNormal"/>
        <w:numPr>
          <w:ilvl w:val="0"/>
          <w:numId w:val="9"/>
        </w:numPr>
      </w:pPr>
      <w:r>
        <w:t>volume / prevalence;</w:t>
      </w:r>
    </w:p>
    <w:p w:rsidR="00720E64" w:rsidRDefault="00720E64" w:rsidP="00AD0B1B">
      <w:pPr>
        <w:pStyle w:val="A4eNormal"/>
        <w:numPr>
          <w:ilvl w:val="0"/>
          <w:numId w:val="9"/>
        </w:numPr>
      </w:pPr>
      <w:r>
        <w:t>impact of the intervention;</w:t>
      </w:r>
    </w:p>
    <w:p w:rsidR="00720E64" w:rsidRDefault="00720E64" w:rsidP="00AD0B1B">
      <w:pPr>
        <w:pStyle w:val="A4eNormal"/>
        <w:numPr>
          <w:ilvl w:val="0"/>
          <w:numId w:val="9"/>
        </w:numPr>
      </w:pPr>
      <w:r>
        <w:t>cashability;</w:t>
      </w:r>
    </w:p>
    <w:p w:rsidR="00720E64" w:rsidRDefault="00720E64" w:rsidP="00AD0B1B">
      <w:pPr>
        <w:pStyle w:val="A4eNormal"/>
        <w:numPr>
          <w:ilvl w:val="0"/>
          <w:numId w:val="9"/>
        </w:numPr>
      </w:pPr>
      <w:r>
        <w:t>split of benefits; and</w:t>
      </w:r>
    </w:p>
    <w:p w:rsidR="00720E64" w:rsidRDefault="00720E64" w:rsidP="00AD0B1B">
      <w:pPr>
        <w:pStyle w:val="A4eNormal"/>
        <w:numPr>
          <w:ilvl w:val="0"/>
          <w:numId w:val="9"/>
        </w:numPr>
      </w:pPr>
      <w:proofErr w:type="gramStart"/>
      <w:r>
        <w:t>timing</w:t>
      </w:r>
      <w:proofErr w:type="gramEnd"/>
      <w:r>
        <w:t>.</w:t>
      </w:r>
    </w:p>
    <w:p w:rsidR="00720E64" w:rsidRDefault="00720E64" w:rsidP="00501F82">
      <w:pPr>
        <w:pStyle w:val="A4eNormal"/>
      </w:pPr>
      <w:r>
        <w:t>These items are linked to the columns in the template, and are considered in more detail below.</w:t>
      </w:r>
    </w:p>
    <w:p w:rsidR="00720E64" w:rsidRDefault="00720E64" w:rsidP="00F61FFC">
      <w:pPr>
        <w:pStyle w:val="A4eHeading1"/>
      </w:pPr>
      <w:r>
        <w:t>Populating the template</w:t>
      </w:r>
    </w:p>
    <w:p w:rsidR="00720E64" w:rsidRDefault="00D96081" w:rsidP="00501F82">
      <w:pPr>
        <w:pStyle w:val="A4eHeading2"/>
      </w:pPr>
      <w:r>
        <w:t>Current or e</w:t>
      </w:r>
      <w:r w:rsidR="00F90303">
        <w:t>xpected future cost</w:t>
      </w:r>
      <w:r>
        <w:t xml:space="preserve"> of services</w:t>
      </w:r>
    </w:p>
    <w:p w:rsidR="00720E64" w:rsidRDefault="005D5E37" w:rsidP="00501F82">
      <w:pPr>
        <w:pStyle w:val="A4eNormal"/>
      </w:pPr>
      <w:r>
        <w:t xml:space="preserve">Potential savings in this context are </w:t>
      </w:r>
      <w:r w:rsidR="00D96081">
        <w:t xml:space="preserve">current </w:t>
      </w:r>
      <w:r>
        <w:t>costs that can be reduced or</w:t>
      </w:r>
      <w:r w:rsidR="00D33C2A">
        <w:t xml:space="preserve"> eliminated, or</w:t>
      </w:r>
      <w:r>
        <w:t xml:space="preserve"> </w:t>
      </w:r>
      <w:r w:rsidR="00D96081">
        <w:t xml:space="preserve">future costs that can be </w:t>
      </w:r>
      <w:r w:rsidR="00D33C2A">
        <w:t xml:space="preserve">reduced or </w:t>
      </w:r>
      <w:r>
        <w:t xml:space="preserve">avoided if the proposed intervention is successful. These </w:t>
      </w:r>
      <w:r>
        <w:lastRenderedPageBreak/>
        <w:t xml:space="preserve">costs relate to interaction of the identified cohort with public services. </w:t>
      </w:r>
      <w:r w:rsidR="00720E64" w:rsidRPr="00D60CD8">
        <w:t xml:space="preserve">The </w:t>
      </w:r>
      <w:r>
        <w:t>estimated</w:t>
      </w:r>
      <w:r w:rsidR="00F90303">
        <w:t xml:space="preserve"> future </w:t>
      </w:r>
      <w:r w:rsidR="00720E64" w:rsidRPr="00501F82">
        <w:t>cost</w:t>
      </w:r>
      <w:r w:rsidR="00720E64" w:rsidRPr="00D60CD8">
        <w:t xml:space="preserve"> </w:t>
      </w:r>
      <w:r w:rsidR="00720E64">
        <w:t>associated with</w:t>
      </w:r>
      <w:r w:rsidR="00720E64" w:rsidRPr="00D60CD8">
        <w:t xml:space="preserve"> </w:t>
      </w:r>
      <w:r w:rsidR="00720E64">
        <w:t>each</w:t>
      </w:r>
      <w:r w:rsidR="00720E64" w:rsidRPr="00D60CD8">
        <w:t xml:space="preserve"> outcome</w:t>
      </w:r>
      <w:r w:rsidR="00720E64">
        <w:t xml:space="preserve"> means the cost </w:t>
      </w:r>
      <w:r w:rsidR="00F90303">
        <w:t xml:space="preserve">that would be </w:t>
      </w:r>
      <w:r w:rsidR="00720E64">
        <w:t xml:space="preserve">incurred </w:t>
      </w:r>
      <w:r w:rsidR="00F90303">
        <w:t>without the</w:t>
      </w:r>
      <w:r w:rsidR="00720E64">
        <w:t xml:space="preserve"> intervention, assuming no other change. </w:t>
      </w:r>
      <w:r w:rsidR="000146B4">
        <w:t xml:space="preserve"> </w:t>
      </w:r>
      <w:r w:rsidR="00720E64">
        <w:t xml:space="preserve">This can be calculated by taking a unit cost, specific to each outcome, and multiplying by its duration or frequency. </w:t>
      </w:r>
      <w:r w:rsidR="000146B4">
        <w:t xml:space="preserve"> </w:t>
      </w:r>
      <w:r w:rsidR="00C053CD">
        <w:t>All of this information is</w:t>
      </w:r>
      <w:r w:rsidR="00720E64">
        <w:t xml:space="preserve"> required </w:t>
      </w:r>
      <w:r w:rsidR="00C053CD">
        <w:t xml:space="preserve">in order </w:t>
      </w:r>
      <w:r w:rsidR="00720E64">
        <w:t>to get a complete picture of costs incurred</w:t>
      </w:r>
      <w:r>
        <w:t xml:space="preserve"> by the cohort</w:t>
      </w:r>
      <w:r w:rsidR="00720E64">
        <w:t>.</w:t>
      </w:r>
    </w:p>
    <w:p w:rsidR="00720E64" w:rsidRDefault="00720E64" w:rsidP="00693627">
      <w:pPr>
        <w:pStyle w:val="A4eNormal"/>
      </w:pPr>
      <w:r>
        <w:t>Some unit costs are straightforward and easily identified (e.g. the cost of a child being in residential care for one week on a spot</w:t>
      </w:r>
      <w:r w:rsidR="0026476E">
        <w:t>-purchased</w:t>
      </w:r>
      <w:r>
        <w:t xml:space="preserve"> contract)</w:t>
      </w:r>
      <w:r w:rsidR="0026476E">
        <w:t>,</w:t>
      </w:r>
      <w:r>
        <w:t xml:space="preserve"> but others are significantly more complicated. In particular, the reduction in cost </w:t>
      </w:r>
      <w:proofErr w:type="gramStart"/>
      <w:r>
        <w:t>effected</w:t>
      </w:r>
      <w:proofErr w:type="gramEnd"/>
      <w:r>
        <w:t xml:space="preserve"> by an intervention may </w:t>
      </w:r>
      <w:r w:rsidR="00395B02">
        <w:t xml:space="preserve">well </w:t>
      </w:r>
      <w:r>
        <w:t>be partially offset by additional costs elsewhere</w:t>
      </w:r>
      <w:r w:rsidR="00FF3291">
        <w:t xml:space="preserve"> – so </w:t>
      </w:r>
      <w:r w:rsidR="0026476E">
        <w:t xml:space="preserve">that </w:t>
      </w:r>
      <w:r w:rsidR="00FF3291">
        <w:t>even in the event of ‘success’, the cost may not fall to zero</w:t>
      </w:r>
      <w:r w:rsidR="00A71CD2">
        <w:t xml:space="preserve">.  </w:t>
      </w:r>
      <w:r>
        <w:t>For example, a child no longer in residential care may still be on a Child Protection Plan.</w:t>
      </w:r>
      <w:r w:rsidR="00395B02">
        <w:t xml:space="preserve"> </w:t>
      </w:r>
      <w:r w:rsidR="001F6C7D">
        <w:rPr>
          <w:b/>
        </w:rPr>
        <w:t>Future</w:t>
      </w:r>
      <w:r w:rsidR="00395B02" w:rsidRPr="00395B02">
        <w:rPr>
          <w:b/>
        </w:rPr>
        <w:t xml:space="preserve"> cost </w:t>
      </w:r>
      <w:r w:rsidR="001F6C7D">
        <w:rPr>
          <w:b/>
        </w:rPr>
        <w:t>should</w:t>
      </w:r>
      <w:r w:rsidR="001F6C7D" w:rsidRPr="00395B02">
        <w:rPr>
          <w:b/>
        </w:rPr>
        <w:t xml:space="preserve"> </w:t>
      </w:r>
      <w:r w:rsidR="00395B02" w:rsidRPr="00395B02">
        <w:rPr>
          <w:b/>
        </w:rPr>
        <w:t xml:space="preserve">be calculated as </w:t>
      </w:r>
      <w:r w:rsidR="001F6C7D">
        <w:rPr>
          <w:b/>
        </w:rPr>
        <w:t>the difference between the current cost and</w:t>
      </w:r>
      <w:r w:rsidR="00395B02" w:rsidRPr="00395B02">
        <w:rPr>
          <w:b/>
        </w:rPr>
        <w:t xml:space="preserve"> the cost of alternative provision (where required).</w:t>
      </w:r>
    </w:p>
    <w:p w:rsidR="00720E64" w:rsidRDefault="00720E64" w:rsidP="00501F82">
      <w:pPr>
        <w:pStyle w:val="A4eNormal"/>
      </w:pPr>
      <w:r>
        <w:t>As well as the unit cost, it is also necessary to know how often or for how long the negative outcome occurs. This data can take a number of forms</w:t>
      </w:r>
      <w:r w:rsidR="0026476E">
        <w:t>,</w:t>
      </w:r>
      <w:r>
        <w:t xml:space="preserve"> but is typically:</w:t>
      </w:r>
    </w:p>
    <w:p w:rsidR="00720E64" w:rsidRDefault="00720E64" w:rsidP="00501F82">
      <w:pPr>
        <w:pStyle w:val="A4eNormal"/>
        <w:numPr>
          <w:ilvl w:val="0"/>
          <w:numId w:val="9"/>
        </w:numPr>
      </w:pPr>
      <w:r>
        <w:t>a one-off event (e.g. a housing eviction);</w:t>
      </w:r>
    </w:p>
    <w:p w:rsidR="00720E64" w:rsidRDefault="00720E64" w:rsidP="00501F82">
      <w:pPr>
        <w:pStyle w:val="A4eNormal"/>
        <w:numPr>
          <w:ilvl w:val="0"/>
          <w:numId w:val="9"/>
        </w:numPr>
      </w:pPr>
      <w:proofErr w:type="gramStart"/>
      <w:r>
        <w:t>a</w:t>
      </w:r>
      <w:proofErr w:type="gramEnd"/>
      <w:r>
        <w:t xml:space="preserve"> recurring event</w:t>
      </w:r>
      <w:r w:rsidR="00A71CD2">
        <w:t xml:space="preserve">.  </w:t>
      </w:r>
      <w:r>
        <w:t>In this case the frequency is the value assigned to the outcome (e.g. the number of crimes committed over a given period); or</w:t>
      </w:r>
    </w:p>
    <w:p w:rsidR="00720E64" w:rsidRDefault="00720E64" w:rsidP="00501F82">
      <w:pPr>
        <w:pStyle w:val="A4eNormal"/>
        <w:numPr>
          <w:ilvl w:val="0"/>
          <w:numId w:val="9"/>
        </w:numPr>
      </w:pPr>
      <w:proofErr w:type="gramStart"/>
      <w:r>
        <w:t>a</w:t>
      </w:r>
      <w:proofErr w:type="gramEnd"/>
      <w:r>
        <w:t xml:space="preserve"> time-limited event, in which case the duration needs to be specified (e.g. the average number of weeks a child spends in residential care).</w:t>
      </w:r>
    </w:p>
    <w:p w:rsidR="001E1A19" w:rsidRDefault="00720E64" w:rsidP="00485A1B">
      <w:pPr>
        <w:pStyle w:val="A4eNormal"/>
      </w:pPr>
      <w:r>
        <w:t xml:space="preserve">For maximum accuracy, </w:t>
      </w:r>
      <w:r w:rsidR="007C1FAA">
        <w:t>commissioners</w:t>
      </w:r>
      <w:r>
        <w:t xml:space="preserve"> are advised to use their own cost data wherever possible. Contracted costs are likely to be most precise (e.g. spot-purchased provision), followed by estimates based on activity or staff estimates of time spent. Failing that, data from approved / audited </w:t>
      </w:r>
      <w:r w:rsidR="007C1FAA">
        <w:t xml:space="preserve">national </w:t>
      </w:r>
      <w:r>
        <w:t xml:space="preserve">sources may </w:t>
      </w:r>
      <w:r w:rsidR="00C053CD">
        <w:t>act as a useful starting point</w:t>
      </w:r>
      <w:r>
        <w:t xml:space="preserve"> – for example NHS tariff data.</w:t>
      </w:r>
      <w:r w:rsidR="00485A1B">
        <w:t xml:space="preserve"> </w:t>
      </w:r>
    </w:p>
    <w:p w:rsidR="00D86AE5" w:rsidDel="00D86AE5" w:rsidRDefault="00A71CD2" w:rsidP="00D86AE5">
      <w:pPr>
        <w:pStyle w:val="A4eNormal"/>
      </w:pPr>
      <w:r>
        <w:t xml:space="preserve">It is assumed in this guide that the purpose of the data collection and modelling is to calculate </w:t>
      </w:r>
      <w:r w:rsidR="006D1D21">
        <w:t>potential savings</w:t>
      </w:r>
      <w:r>
        <w:t xml:space="preserve"> accruing directly to commissioners and public sector partners (and therefore available to fund payments to providers and investors under a SIB or PBR programme).  </w:t>
      </w:r>
      <w:r w:rsidR="006D1D21">
        <w:t>Therefore</w:t>
      </w:r>
      <w:r w:rsidR="00D86AE5">
        <w:t xml:space="preserve"> </w:t>
      </w:r>
      <w:r w:rsidR="00720E64">
        <w:t>wider costs not attributable to the public sector</w:t>
      </w:r>
      <w:r w:rsidR="0054176F">
        <w:t xml:space="preserve">, and not usually </w:t>
      </w:r>
      <w:r>
        <w:t>available</w:t>
      </w:r>
      <w:r w:rsidR="0054176F">
        <w:t xml:space="preserve"> to </w:t>
      </w:r>
      <w:r>
        <w:t>fund</w:t>
      </w:r>
      <w:r w:rsidR="0054176F">
        <w:t xml:space="preserve"> payments,</w:t>
      </w:r>
      <w:r w:rsidR="00FE33A3">
        <w:t xml:space="preserve"> </w:t>
      </w:r>
      <w:r w:rsidR="006D1D21">
        <w:t>are</w:t>
      </w:r>
      <w:r w:rsidR="00FE33A3">
        <w:t xml:space="preserve"> excluded</w:t>
      </w:r>
      <w:r w:rsidR="00720E64">
        <w:t>, e.g. the costs of c</w:t>
      </w:r>
      <w:r w:rsidR="00FE33A3">
        <w:t>rime to the insurance industry</w:t>
      </w:r>
      <w:r>
        <w:t xml:space="preserve">.  </w:t>
      </w:r>
    </w:p>
    <w:p w:rsidR="00466AE7" w:rsidRDefault="00720E64">
      <w:pPr>
        <w:pStyle w:val="A4eHeading2"/>
      </w:pPr>
      <w:r>
        <w:t>Volume / prevalence</w:t>
      </w:r>
    </w:p>
    <w:p w:rsidR="00720E64" w:rsidRDefault="007C1FAA" w:rsidP="00AD0B1B">
      <w:pPr>
        <w:pStyle w:val="A4eNormal"/>
      </w:pPr>
      <w:r>
        <w:t>Whatever the target population</w:t>
      </w:r>
      <w:r w:rsidR="0054176F">
        <w:t xml:space="preserve"> (or cohort)</w:t>
      </w:r>
      <w:r w:rsidR="00720E64">
        <w:t xml:space="preserve">, there </w:t>
      </w:r>
      <w:r>
        <w:t xml:space="preserve">are likely to </w:t>
      </w:r>
      <w:r w:rsidR="00720E64">
        <w:t xml:space="preserve">be differences in the </w:t>
      </w:r>
      <w:r w:rsidR="00C053CD">
        <w:t>severity</w:t>
      </w:r>
      <w:r w:rsidR="00720E64">
        <w:t xml:space="preserve"> of problems within </w:t>
      </w:r>
      <w:r w:rsidR="0026476E">
        <w:t>th</w:t>
      </w:r>
      <w:r>
        <w:t>at</w:t>
      </w:r>
      <w:r w:rsidR="0026476E">
        <w:t xml:space="preserve"> group</w:t>
      </w:r>
      <w:r>
        <w:t>.</w:t>
      </w:r>
    </w:p>
    <w:p w:rsidR="00720E64" w:rsidRDefault="00720E64" w:rsidP="00AD0B1B">
      <w:pPr>
        <w:pStyle w:val="A4eNormal"/>
      </w:pPr>
      <w:r>
        <w:t xml:space="preserve">In order to calculate the total costs being incurred in relation to these </w:t>
      </w:r>
      <w:r w:rsidR="007C1FAA">
        <w:t xml:space="preserve">negative </w:t>
      </w:r>
      <w:r>
        <w:t xml:space="preserve">outcomes, it is vital to know the prevalence of the outcomes – i.e. how many </w:t>
      </w:r>
      <w:r w:rsidR="007C1FAA">
        <w:t>members of the target cohort</w:t>
      </w:r>
      <w:r>
        <w:t xml:space="preserve"> are currently exhibiting each outcome and hence incurring the costs. </w:t>
      </w:r>
    </w:p>
    <w:p w:rsidR="00720E64" w:rsidRDefault="00720E64" w:rsidP="00AD0B1B">
      <w:pPr>
        <w:pStyle w:val="A4eNormal"/>
      </w:pPr>
      <w:r>
        <w:t xml:space="preserve">In addition, and since the point of intervention is often preventative, in some cases it is important to know both how many </w:t>
      </w:r>
      <w:r w:rsidR="007C1FAA">
        <w:t>individuals</w:t>
      </w:r>
      <w:r>
        <w:t xml:space="preserve"> are </w:t>
      </w:r>
      <w:r w:rsidRPr="00A12636">
        <w:rPr>
          <w:i/>
        </w:rPr>
        <w:t>currently</w:t>
      </w:r>
      <w:r w:rsidRPr="00501F82">
        <w:t xml:space="preserve"> incurring the costs (e.g. a child is in residential care) and how many are </w:t>
      </w:r>
      <w:r w:rsidRPr="00A12636">
        <w:rPr>
          <w:i/>
        </w:rPr>
        <w:t>at risk</w:t>
      </w:r>
      <w:r>
        <w:t xml:space="preserve"> of incurring the costs (e.g. a child is at risk of being taken into residential care). </w:t>
      </w:r>
      <w:proofErr w:type="gramStart"/>
      <w:r>
        <w:t xml:space="preserve">For the most part, the calculation of the latter needs to be </w:t>
      </w:r>
      <w:r>
        <w:lastRenderedPageBreak/>
        <w:t xml:space="preserve">confined to those at high risk of incurring the outcome, </w:t>
      </w:r>
      <w:r w:rsidR="00FE33A3">
        <w:t xml:space="preserve">in order </w:t>
      </w:r>
      <w:r>
        <w:t>to avoid over-calculating the prevalence.</w:t>
      </w:r>
      <w:proofErr w:type="gramEnd"/>
    </w:p>
    <w:p w:rsidR="00720E64" w:rsidRDefault="00720E64" w:rsidP="00AD0B1B">
      <w:pPr>
        <w:pStyle w:val="A4eNormal"/>
      </w:pPr>
      <w:r>
        <w:t>As with unit cost, by far the best source of information on the cohort will be real data, based</w:t>
      </w:r>
      <w:r w:rsidR="00FE33A3">
        <w:t>,</w:t>
      </w:r>
      <w:r>
        <w:t xml:space="preserve"> for example</w:t>
      </w:r>
      <w:r w:rsidR="00FE33A3">
        <w:t>,</w:t>
      </w:r>
      <w:r>
        <w:t xml:space="preserve"> on</w:t>
      </w:r>
      <w:r w:rsidR="004B2594">
        <w:t xml:space="preserve"> an existing needs analysis</w:t>
      </w:r>
      <w:r w:rsidR="00DA6824">
        <w:t>,</w:t>
      </w:r>
      <w:r w:rsidR="004B2594">
        <w:t xml:space="preserve"> or an evaluation of </w:t>
      </w:r>
      <w:r>
        <w:t xml:space="preserve">an existing </w:t>
      </w:r>
      <w:r w:rsidR="00841F54">
        <w:t>programme</w:t>
      </w:r>
      <w:r>
        <w:t xml:space="preserve">. </w:t>
      </w:r>
      <w:r w:rsidR="007C1FAA">
        <w:t>In the case of local commissioners, n</w:t>
      </w:r>
      <w:r w:rsidR="0026476E">
        <w:t>ational</w:t>
      </w:r>
      <w:r w:rsidR="00C053CD">
        <w:t xml:space="preserve"> average</w:t>
      </w:r>
      <w:r w:rsidR="0026476E">
        <w:t xml:space="preserve"> data</w:t>
      </w:r>
      <w:r>
        <w:t xml:space="preserve"> </w:t>
      </w:r>
      <w:r w:rsidR="00C053CD">
        <w:t>will be</w:t>
      </w:r>
      <w:r>
        <w:t xml:space="preserve"> a poor substitute for real</w:t>
      </w:r>
      <w:r w:rsidR="00C053CD">
        <w:t>,</w:t>
      </w:r>
      <w:r>
        <w:t xml:space="preserve"> local</w:t>
      </w:r>
      <w:r w:rsidR="00C053CD">
        <w:t>ly-collected</w:t>
      </w:r>
      <w:r>
        <w:t xml:space="preserve"> data</w:t>
      </w:r>
      <w:r w:rsidR="00C053CD">
        <w:t>,</w:t>
      </w:r>
      <w:r>
        <w:t xml:space="preserve"> and could give skewed results. </w:t>
      </w:r>
    </w:p>
    <w:p w:rsidR="00720E64" w:rsidRPr="00501F82" w:rsidRDefault="00720E64" w:rsidP="00501F82">
      <w:pPr>
        <w:pStyle w:val="A4eHeading2"/>
      </w:pPr>
      <w:r>
        <w:t>The impact</w:t>
      </w:r>
      <w:r w:rsidRPr="00501F82">
        <w:t xml:space="preserve"> of intervention </w:t>
      </w:r>
    </w:p>
    <w:p w:rsidR="00720E64" w:rsidRDefault="00720E64" w:rsidP="00AD0B1B">
      <w:pPr>
        <w:pStyle w:val="A4eNormal"/>
      </w:pPr>
      <w:r>
        <w:t>The impact of an intervention is the change which will be made to the outcome. This will clearly depend on the nature of the intervention which is selected.</w:t>
      </w:r>
    </w:p>
    <w:p w:rsidR="002B7057" w:rsidRDefault="00720E64" w:rsidP="00AD0B1B">
      <w:pPr>
        <w:pStyle w:val="A4eNormal"/>
      </w:pPr>
      <w:r>
        <w:t xml:space="preserve">In most sources, the impact of intervention is expressed as either a percentage </w:t>
      </w:r>
      <w:r w:rsidR="007E1362">
        <w:t xml:space="preserve">or percentage point </w:t>
      </w:r>
      <w:r>
        <w:t xml:space="preserve">change – e.g. the intervention reduces the current </w:t>
      </w:r>
      <w:r w:rsidR="004675FA">
        <w:t xml:space="preserve">rate </w:t>
      </w:r>
      <w:r>
        <w:t xml:space="preserve">of </w:t>
      </w:r>
      <w:r w:rsidR="004675FA">
        <w:t>re</w:t>
      </w:r>
      <w:r>
        <w:t xml:space="preserve">offending from </w:t>
      </w:r>
      <w:r w:rsidR="004675FA">
        <w:t>50</w:t>
      </w:r>
      <w:r>
        <w:t xml:space="preserve">% </w:t>
      </w:r>
      <w:r w:rsidR="004675FA">
        <w:t xml:space="preserve">of the cohort </w:t>
      </w:r>
      <w:r>
        <w:t xml:space="preserve">to </w:t>
      </w:r>
      <w:r w:rsidR="004675FA">
        <w:t>45</w:t>
      </w:r>
      <w:r>
        <w:t xml:space="preserve">%, </w:t>
      </w:r>
      <w:r w:rsidR="004675FA">
        <w:t xml:space="preserve">which is a 10 percent or 5 percentage point reduction. It will help to record impact using the former method, percentage change, </w:t>
      </w:r>
      <w:r w:rsidR="00A81CA1">
        <w:t xml:space="preserve">as this </w:t>
      </w:r>
      <w:r w:rsidR="004675FA">
        <w:t>will most easily facilitate later calculations.</w:t>
      </w:r>
    </w:p>
    <w:p w:rsidR="0054176F" w:rsidRDefault="00A71CD2" w:rsidP="00AD0B1B">
      <w:pPr>
        <w:pStyle w:val="A4eNormal"/>
      </w:pPr>
      <w:r>
        <w:t>Both the quality and availability of evidence on the impact of interventions varies widely according to the interventions themselves and the outcomes they are designed to achieve.  Even</w:t>
      </w:r>
      <w:r w:rsidR="0054176F">
        <w:t xml:space="preserve"> where good information on </w:t>
      </w:r>
      <w:r>
        <w:t>impact is</w:t>
      </w:r>
      <w:r w:rsidR="0054176F">
        <w:t xml:space="preserve"> available, a </w:t>
      </w:r>
      <w:r>
        <w:t>relatively</w:t>
      </w:r>
      <w:r w:rsidR="0054176F">
        <w:t xml:space="preserve"> small </w:t>
      </w:r>
      <w:r>
        <w:t>shortfall</w:t>
      </w:r>
      <w:r w:rsidR="0054176F">
        <w:t xml:space="preserve"> in </w:t>
      </w:r>
      <w:r>
        <w:t>impact</w:t>
      </w:r>
      <w:r w:rsidR="0054176F">
        <w:t xml:space="preserve"> </w:t>
      </w:r>
      <w:r>
        <w:t>compared</w:t>
      </w:r>
      <w:r w:rsidR="0054176F">
        <w:t xml:space="preserve"> to what was </w:t>
      </w:r>
      <w:r>
        <w:t>expected</w:t>
      </w:r>
      <w:r w:rsidR="0054176F">
        <w:t xml:space="preserve"> can </w:t>
      </w:r>
      <w:r>
        <w:t>significantly</w:t>
      </w:r>
      <w:r w:rsidR="0054176F">
        <w:t xml:space="preserve"> </w:t>
      </w:r>
      <w:r>
        <w:t>affect</w:t>
      </w:r>
      <w:r w:rsidR="0054176F">
        <w:t xml:space="preserve"> the </w:t>
      </w:r>
      <w:r>
        <w:t>viability</w:t>
      </w:r>
      <w:r w:rsidR="0054176F">
        <w:t xml:space="preserve"> of the </w:t>
      </w:r>
      <w:r>
        <w:t>financial</w:t>
      </w:r>
      <w:r w:rsidR="0054176F">
        <w:t xml:space="preserve"> case</w:t>
      </w:r>
      <w:r>
        <w:t xml:space="preserve">.  </w:t>
      </w:r>
      <w:r w:rsidR="0054176F">
        <w:t xml:space="preserve">For this </w:t>
      </w:r>
      <w:r>
        <w:t>reason</w:t>
      </w:r>
      <w:r w:rsidR="0054176F">
        <w:t xml:space="preserve">, impact is a key variable against which </w:t>
      </w:r>
      <w:r>
        <w:t>commissioners</w:t>
      </w:r>
      <w:r w:rsidR="0054176F">
        <w:t xml:space="preserve"> </w:t>
      </w:r>
      <w:r>
        <w:t>may</w:t>
      </w:r>
      <w:r w:rsidR="0054176F">
        <w:t xml:space="preserve"> wish to run </w:t>
      </w:r>
      <w:r>
        <w:t>sensitivity</w:t>
      </w:r>
      <w:r w:rsidR="0054176F">
        <w:t xml:space="preserve"> analysis as part of their </w:t>
      </w:r>
      <w:r>
        <w:t>financial</w:t>
      </w:r>
      <w:r w:rsidR="0054176F">
        <w:t xml:space="preserve"> modelling</w:t>
      </w:r>
      <w:r w:rsidR="00061A4B">
        <w:t>.</w:t>
      </w:r>
    </w:p>
    <w:p w:rsidR="00720E64" w:rsidRDefault="00720E64" w:rsidP="00763D23">
      <w:pPr>
        <w:pStyle w:val="A4eHeading2"/>
      </w:pPr>
      <w:r>
        <w:t>Cashability</w:t>
      </w:r>
      <w:r w:rsidR="00A81CA1">
        <w:t xml:space="preserve"> / marginal costs / variable costs</w:t>
      </w:r>
    </w:p>
    <w:p w:rsidR="00720E64" w:rsidRDefault="00720E64" w:rsidP="00763D23">
      <w:pPr>
        <w:pStyle w:val="A4eNormal"/>
      </w:pPr>
      <w:r>
        <w:t xml:space="preserve">Provided that cost, volume / </w:t>
      </w:r>
      <w:r w:rsidR="00865A4E">
        <w:t>prevalence</w:t>
      </w:r>
      <w:r>
        <w:t xml:space="preserve"> and impact of intervention data </w:t>
      </w:r>
      <w:proofErr w:type="gramStart"/>
      <w:r>
        <w:t>is</w:t>
      </w:r>
      <w:proofErr w:type="gramEnd"/>
      <w:r>
        <w:t xml:space="preserve"> available for each outcome, the gross cost reduction or avoided cost</w:t>
      </w:r>
      <w:r w:rsidR="006450AD">
        <w:t xml:space="preserve"> can be calculated</w:t>
      </w:r>
      <w:r>
        <w:t xml:space="preserve">. </w:t>
      </w:r>
      <w:r w:rsidR="0054176F">
        <w:t xml:space="preserve"> </w:t>
      </w:r>
      <w:r w:rsidR="00A71CD2">
        <w:t xml:space="preserve">However, a predicted cost reduction or avoided cost cannot always be converted into an actual saving.  </w:t>
      </w:r>
      <w:r>
        <w:t>For example, reduced need for health services among a certain population of families may be ‘backfilled’ by previously unmet demand from elsewhere</w:t>
      </w:r>
      <w:r w:rsidR="00A71CD2">
        <w:t xml:space="preserve">.  </w:t>
      </w:r>
      <w:r w:rsidR="00C053CD">
        <w:t xml:space="preserve">Or the reduction in demand may be below the threshold </w:t>
      </w:r>
      <w:r w:rsidR="00A81CA1">
        <w:t>required to reduce costs</w:t>
      </w:r>
      <w:r w:rsidR="00C053CD">
        <w:t xml:space="preserve"> – for example, </w:t>
      </w:r>
      <w:r w:rsidR="00A81CA1">
        <w:t xml:space="preserve">the running cost of a prison wing where almost all </w:t>
      </w:r>
      <w:r w:rsidR="004314E7">
        <w:t xml:space="preserve">of </w:t>
      </w:r>
      <w:r w:rsidR="00A81CA1">
        <w:t>the beds are empty may not be much less than the cost of a full wing.</w:t>
      </w:r>
    </w:p>
    <w:p w:rsidR="00720E64" w:rsidRDefault="00A71CD2" w:rsidP="00763D23">
      <w:pPr>
        <w:pStyle w:val="A4eNormal"/>
      </w:pPr>
      <w:r>
        <w:t xml:space="preserve">In order to identify the savings </w:t>
      </w:r>
      <w:r w:rsidR="00A81CA1">
        <w:t xml:space="preserve">that </w:t>
      </w:r>
      <w:r>
        <w:t>can be realised, and thus available to fund payments to providers and investors, it is therefore necessary to know the extent to which an avoided cost is ‘cashable’.</w:t>
      </w:r>
    </w:p>
    <w:p w:rsidR="00720E64" w:rsidRDefault="006450AD" w:rsidP="002210F7">
      <w:pPr>
        <w:pStyle w:val="A4eNormal"/>
      </w:pPr>
      <w:r>
        <w:t>Commissioners</w:t>
      </w:r>
      <w:r w:rsidR="00720E64">
        <w:t xml:space="preserve"> need to use their own judgement to determine whether and to what extent any gross saving can be cashed. Factors which will affect the level of cashability include such issues as:</w:t>
      </w:r>
    </w:p>
    <w:p w:rsidR="00720E64" w:rsidRDefault="00720E64" w:rsidP="00DC386D">
      <w:pPr>
        <w:pStyle w:val="A4eNormal"/>
        <w:numPr>
          <w:ilvl w:val="0"/>
          <w:numId w:val="13"/>
        </w:numPr>
      </w:pPr>
      <w:r>
        <w:t>whether costs are fixed (e.g. a fixed contract for services, or the costs of a fixed asset such as accommodation) or variable (e.g. spot purchased services, or legal fees paid to third parties);</w:t>
      </w:r>
    </w:p>
    <w:p w:rsidR="00720E64" w:rsidRDefault="00720E64" w:rsidP="00DC386D">
      <w:pPr>
        <w:pStyle w:val="A4eNormal"/>
        <w:numPr>
          <w:ilvl w:val="0"/>
          <w:numId w:val="13"/>
        </w:numPr>
      </w:pPr>
      <w:r>
        <w:t xml:space="preserve">whether a service is provided </w:t>
      </w:r>
      <w:r w:rsidR="00312E94">
        <w:t>in-house or contracted out; and</w:t>
      </w:r>
    </w:p>
    <w:p w:rsidR="00720E64" w:rsidRDefault="00720E64" w:rsidP="00DC386D">
      <w:pPr>
        <w:pStyle w:val="A4eNormal"/>
        <w:numPr>
          <w:ilvl w:val="0"/>
          <w:numId w:val="13"/>
        </w:numPr>
      </w:pPr>
      <w:proofErr w:type="gramStart"/>
      <w:r>
        <w:lastRenderedPageBreak/>
        <w:t>the</w:t>
      </w:r>
      <w:proofErr w:type="gramEnd"/>
      <w:r>
        <w:t xml:space="preserve"> degree of backfill and the extent to which it can be controlled</w:t>
      </w:r>
      <w:r w:rsidR="00BC3ACB">
        <w:t>.</w:t>
      </w:r>
    </w:p>
    <w:p w:rsidR="00DF64F7" w:rsidRDefault="00720E64" w:rsidP="002326D0">
      <w:pPr>
        <w:pStyle w:val="A4eNormal"/>
      </w:pPr>
      <w:r>
        <w:t xml:space="preserve">A proper calculation of cashability will be challenging and may require work on cost realisation strategies. It is important to avoid assumptions which are simplistic and can lead either to over-estimates of savings (e.g. assuming that costs are variable when they are fixed) or to under-estimates (e.g. </w:t>
      </w:r>
      <w:r w:rsidR="00BC3ACB">
        <w:t>a</w:t>
      </w:r>
      <w:r>
        <w:t xml:space="preserve">ssuming that no savings can be cashed whatever the volume of cost reduction and that all savings will always be eliminated by </w:t>
      </w:r>
      <w:r w:rsidR="00B354E3">
        <w:t>‘</w:t>
      </w:r>
      <w:r>
        <w:t>backfill</w:t>
      </w:r>
      <w:r w:rsidR="00B354E3">
        <w:t>’</w:t>
      </w:r>
      <w:r>
        <w:t>).</w:t>
      </w:r>
      <w:r w:rsidR="00B354E3">
        <w:t xml:space="preserve"> </w:t>
      </w:r>
    </w:p>
    <w:p w:rsidR="000F07A3" w:rsidRDefault="00720E64" w:rsidP="000F07A3">
      <w:pPr>
        <w:pStyle w:val="A4eHeading2"/>
      </w:pPr>
      <w:r>
        <w:t>Split of benefits</w:t>
      </w:r>
    </w:p>
    <w:p w:rsidR="006450AD" w:rsidRDefault="0054176F" w:rsidP="00763D23">
      <w:pPr>
        <w:pStyle w:val="A4eNormal"/>
      </w:pPr>
      <w:r>
        <w:t xml:space="preserve">In many cases, the </w:t>
      </w:r>
      <w:r w:rsidR="00A71CD2">
        <w:t>benefits</w:t>
      </w:r>
      <w:r>
        <w:t xml:space="preserve"> of </w:t>
      </w:r>
      <w:r w:rsidR="00A71CD2">
        <w:t>outcomes</w:t>
      </w:r>
      <w:r>
        <w:t xml:space="preserve"> being </w:t>
      </w:r>
      <w:r w:rsidR="00A71CD2">
        <w:t>achieved</w:t>
      </w:r>
      <w:r>
        <w:t xml:space="preserve"> will accrue to more than one agency.  </w:t>
      </w:r>
      <w:r w:rsidR="00A71CD2">
        <w:t>If this is the case, as well as the cashability, it is also necessary to identify the beneficiaries of the cost reduction (both cashable and non-cashable)</w:t>
      </w:r>
      <w:r w:rsidR="002326D0">
        <w:t xml:space="preserve">. This </w:t>
      </w:r>
      <w:r w:rsidR="00061A4B">
        <w:t>allow</w:t>
      </w:r>
      <w:r w:rsidR="002326D0">
        <w:t>s</w:t>
      </w:r>
      <w:r w:rsidR="00061A4B">
        <w:t xml:space="preserve"> commissioners to make a robust case for contributions </w:t>
      </w:r>
      <w:r w:rsidR="002326D0">
        <w:t xml:space="preserve">from other public sector organisations </w:t>
      </w:r>
      <w:r w:rsidR="00061A4B">
        <w:t xml:space="preserve">(in cash or kind). </w:t>
      </w:r>
      <w:r w:rsidR="002326D0">
        <w:t>This information can also be used by commissioners to apply to the Cabinet Office Social Outcomes Fund</w:t>
      </w:r>
      <w:r w:rsidR="00577997">
        <w:t xml:space="preserve"> (see </w:t>
      </w:r>
      <w:r w:rsidR="00577997" w:rsidRPr="00577997">
        <w:t>https://www.gov.uk/social-impact-bonds</w:t>
      </w:r>
      <w:r w:rsidR="00577997">
        <w:t>)</w:t>
      </w:r>
      <w:r w:rsidR="00322BE3">
        <w:t xml:space="preserve">, which can provide a contribution to represent savings that fall across the public </w:t>
      </w:r>
      <w:r w:rsidR="00D30025">
        <w:t>sector</w:t>
      </w:r>
      <w:r w:rsidR="00322BE3">
        <w:t>.</w:t>
      </w:r>
      <w:r w:rsidR="00061A4B">
        <w:t xml:space="preserve"> </w:t>
      </w:r>
      <w:r w:rsidR="002326D0">
        <w:t>Potential savings</w:t>
      </w:r>
      <w:r w:rsidR="006450AD">
        <w:t xml:space="preserve"> should</w:t>
      </w:r>
      <w:r w:rsidR="00720E64">
        <w:t xml:space="preserve"> </w:t>
      </w:r>
      <w:r>
        <w:t xml:space="preserve">wherever possible </w:t>
      </w:r>
      <w:r w:rsidR="00720E64">
        <w:t xml:space="preserve">be attributed to named beneficiaries including all or parts of the local </w:t>
      </w:r>
      <w:r w:rsidR="006450AD">
        <w:t>commissioner</w:t>
      </w:r>
      <w:r w:rsidR="00720E64">
        <w:t xml:space="preserve"> </w:t>
      </w:r>
      <w:r w:rsidR="006450AD">
        <w:t>and</w:t>
      </w:r>
      <w:r w:rsidR="00720E64">
        <w:t xml:space="preserve"> other local agencies.</w:t>
      </w:r>
    </w:p>
    <w:p w:rsidR="00720E64" w:rsidRDefault="00720E64" w:rsidP="00763D23">
      <w:pPr>
        <w:pStyle w:val="A4eNormal"/>
      </w:pPr>
      <w:r>
        <w:t xml:space="preserve">In some cases the split of benefits will be obvious but in others will require judgement on the part of local partners. </w:t>
      </w:r>
    </w:p>
    <w:p w:rsidR="00720E64" w:rsidRDefault="00720E64" w:rsidP="00FB6A5F">
      <w:pPr>
        <w:pStyle w:val="A4eHeading2"/>
      </w:pPr>
      <w:r>
        <w:t>Timing</w:t>
      </w:r>
    </w:p>
    <w:p w:rsidR="00720E64" w:rsidRPr="00FB6A5F" w:rsidRDefault="0054176F" w:rsidP="00FB6A5F">
      <w:pPr>
        <w:pStyle w:val="A4eNormal"/>
      </w:pPr>
      <w:r>
        <w:t xml:space="preserve">Finally, the viability of a SIB depends both on the </w:t>
      </w:r>
      <w:r w:rsidR="00A71CD2">
        <w:t>availability</w:t>
      </w:r>
      <w:r>
        <w:t xml:space="preserve"> of </w:t>
      </w:r>
      <w:r w:rsidR="00A71CD2">
        <w:t>savings</w:t>
      </w:r>
      <w:r>
        <w:t xml:space="preserve"> and </w:t>
      </w:r>
      <w:r w:rsidR="00A71CD2">
        <w:t>also</w:t>
      </w:r>
      <w:r>
        <w:t xml:space="preserve"> </w:t>
      </w:r>
      <w:r w:rsidR="00C07F20">
        <w:t xml:space="preserve">when the </w:t>
      </w:r>
      <w:r w:rsidR="00A71CD2">
        <w:t>savings</w:t>
      </w:r>
      <w:r w:rsidR="00C07F20">
        <w:t xml:space="preserve"> can be realised.  </w:t>
      </w:r>
      <w:r w:rsidR="00720E64">
        <w:t>In order to calculate a cash</w:t>
      </w:r>
      <w:r w:rsidR="00822204">
        <w:t xml:space="preserve"> </w:t>
      </w:r>
      <w:r w:rsidR="00720E64">
        <w:t>flow profile, it is important to know when costs and savings will actually fall</w:t>
      </w:r>
      <w:r w:rsidR="00A71CD2">
        <w:t xml:space="preserve">.  </w:t>
      </w:r>
      <w:r w:rsidR="00720E64">
        <w:t xml:space="preserve">For example, </w:t>
      </w:r>
      <w:r w:rsidR="00061A4B">
        <w:t xml:space="preserve">preventing </w:t>
      </w:r>
      <w:r w:rsidR="00720E64">
        <w:t xml:space="preserve">a child </w:t>
      </w:r>
      <w:r w:rsidR="00061A4B">
        <w:t xml:space="preserve">from </w:t>
      </w:r>
      <w:r w:rsidR="0051451E">
        <w:t xml:space="preserve">needing to </w:t>
      </w:r>
      <w:r w:rsidR="00720E64">
        <w:t xml:space="preserve">be taken into care </w:t>
      </w:r>
      <w:r w:rsidR="00DA6824">
        <w:t>could</w:t>
      </w:r>
      <w:r w:rsidR="00720E64">
        <w:t xml:space="preserve"> be assumed to </w:t>
      </w:r>
      <w:r w:rsidR="00DA6824">
        <w:t>generate</w:t>
      </w:r>
      <w:r w:rsidR="00720E64">
        <w:t xml:space="preserve"> </w:t>
      </w:r>
      <w:r w:rsidR="00322BE3">
        <w:t>savings over</w:t>
      </w:r>
      <w:r w:rsidR="00720E64">
        <w:t xml:space="preserve"> the</w:t>
      </w:r>
      <w:r w:rsidR="00F82461">
        <w:t xml:space="preserve"> </w:t>
      </w:r>
      <w:r w:rsidR="00720E64">
        <w:t xml:space="preserve">time the child would otherwise have </w:t>
      </w:r>
      <w:r w:rsidR="00F82461">
        <w:t xml:space="preserve">been expected to </w:t>
      </w:r>
      <w:r w:rsidR="00720E64">
        <w:t>spen</w:t>
      </w:r>
      <w:r w:rsidR="00F82461">
        <w:t>d</w:t>
      </w:r>
      <w:r w:rsidR="00720E64">
        <w:t xml:space="preserve"> in care.</w:t>
      </w:r>
      <w:r w:rsidR="00C07F20">
        <w:t xml:space="preserve"> </w:t>
      </w:r>
      <w:r w:rsidR="00061A4B">
        <w:t xml:space="preserve"> </w:t>
      </w:r>
      <w:r w:rsidR="00C07F20">
        <w:t xml:space="preserve">Or an </w:t>
      </w:r>
      <w:r w:rsidR="00A71CD2">
        <w:t>intervention</w:t>
      </w:r>
      <w:r w:rsidR="00C07F20">
        <w:t xml:space="preserve"> </w:t>
      </w:r>
      <w:r w:rsidR="00322BE3">
        <w:t xml:space="preserve">that </w:t>
      </w:r>
      <w:r w:rsidR="00A71CD2">
        <w:t>improves</w:t>
      </w:r>
      <w:r w:rsidR="00C07F20">
        <w:t xml:space="preserve"> </w:t>
      </w:r>
      <w:r w:rsidR="00A71CD2">
        <w:t>the</w:t>
      </w:r>
      <w:r w:rsidR="00C07F20">
        <w:t xml:space="preserve"> </w:t>
      </w:r>
      <w:r w:rsidR="00A71CD2">
        <w:t>mental</w:t>
      </w:r>
      <w:r w:rsidR="00C07F20">
        <w:t xml:space="preserve"> health of a cohort may have an </w:t>
      </w:r>
      <w:r w:rsidR="00A71CD2">
        <w:t>impact</w:t>
      </w:r>
      <w:r w:rsidR="00C07F20">
        <w:t xml:space="preserve"> on the costs </w:t>
      </w:r>
      <w:r w:rsidR="00A71CD2">
        <w:t>incurred</w:t>
      </w:r>
      <w:r w:rsidR="00C07F20">
        <w:t xml:space="preserve"> by health service </w:t>
      </w:r>
      <w:r w:rsidR="00A71CD2">
        <w:t>providers</w:t>
      </w:r>
      <w:r w:rsidR="00322BE3">
        <w:t xml:space="preserve"> that changes over time. C</w:t>
      </w:r>
      <w:r w:rsidR="00A71CD2">
        <w:t>osts</w:t>
      </w:r>
      <w:r w:rsidR="00C07F20">
        <w:t xml:space="preserve"> </w:t>
      </w:r>
      <w:r w:rsidR="00322BE3">
        <w:t>may initially increase as engagement with health providers increases but decrease over the long term as the need for intensive services such as section decreases</w:t>
      </w:r>
      <w:r w:rsidR="00C07F20">
        <w:t xml:space="preserve">. </w:t>
      </w:r>
    </w:p>
    <w:p w:rsidR="00720E64" w:rsidRDefault="00720E64" w:rsidP="00FB6A5F">
      <w:pPr>
        <w:pStyle w:val="A4eHeading2"/>
      </w:pPr>
      <w:r>
        <w:t>General advice on collecting costs and data</w:t>
      </w:r>
    </w:p>
    <w:p w:rsidR="00720E64" w:rsidRDefault="00720E64" w:rsidP="00FB6A5F">
      <w:pPr>
        <w:pStyle w:val="A4eNormal"/>
      </w:pPr>
      <w:r>
        <w:t xml:space="preserve">Past experience suggests that </w:t>
      </w:r>
      <w:r w:rsidR="006450AD">
        <w:t>commissioners and their partners</w:t>
      </w:r>
      <w:r>
        <w:t xml:space="preserve"> may find it difficult to collect some of the </w:t>
      </w:r>
      <w:r w:rsidR="006450AD">
        <w:t xml:space="preserve">required </w:t>
      </w:r>
      <w:r>
        <w:t xml:space="preserve">data, in part because it is not </w:t>
      </w:r>
      <w:r w:rsidR="0026476E">
        <w:t xml:space="preserve">always </w:t>
      </w:r>
      <w:r>
        <w:t xml:space="preserve">readily available in the right form. </w:t>
      </w:r>
      <w:r w:rsidR="00061A4B">
        <w:t>Commissioners</w:t>
      </w:r>
      <w:r>
        <w:t xml:space="preserve"> may find the following additional </w:t>
      </w:r>
      <w:r w:rsidR="0026476E">
        <w:t>suggestions</w:t>
      </w:r>
      <w:r>
        <w:t xml:space="preserve"> helpful, although they will need to form their own view on the best ways to collect data.</w:t>
      </w:r>
    </w:p>
    <w:p w:rsidR="00C77E19" w:rsidRDefault="000F07A3">
      <w:pPr>
        <w:pStyle w:val="A4ebullsub2"/>
        <w:numPr>
          <w:ilvl w:val="1"/>
          <w:numId w:val="25"/>
        </w:numPr>
        <w:tabs>
          <w:tab w:val="clear" w:pos="2149"/>
          <w:tab w:val="num" w:pos="1418"/>
        </w:tabs>
        <w:ind w:left="1418" w:hanging="425"/>
        <w:jc w:val="both"/>
      </w:pPr>
      <w:r w:rsidRPr="000F07A3">
        <w:rPr>
          <w:b/>
        </w:rPr>
        <w:t>Use contract costs where available</w:t>
      </w:r>
      <w:r w:rsidRPr="000F07A3">
        <w:t>. Costs paid to third parties through contracts or other fee-based arrangements are both the most accurate and, in many cases, more incremental and therefore capable of being easily reduced and cashed.</w:t>
      </w:r>
    </w:p>
    <w:p w:rsidR="00C77E19" w:rsidRDefault="000F07A3">
      <w:pPr>
        <w:pStyle w:val="A4ebullsub2"/>
        <w:numPr>
          <w:ilvl w:val="1"/>
          <w:numId w:val="25"/>
        </w:numPr>
        <w:tabs>
          <w:tab w:val="clear" w:pos="2149"/>
          <w:tab w:val="num" w:pos="1418"/>
        </w:tabs>
        <w:ind w:left="1418" w:hanging="425"/>
        <w:jc w:val="both"/>
      </w:pPr>
      <w:r w:rsidRPr="000F07A3">
        <w:rPr>
          <w:b/>
        </w:rPr>
        <w:t>Use estimates of staff time and cost</w:t>
      </w:r>
      <w:r w:rsidRPr="000F07A3">
        <w:t xml:space="preserve">. When calculating the staff time attributable to an activity in order to build up a unit cost, the most accurate approach is to build up </w:t>
      </w:r>
      <w:r w:rsidRPr="000F07A3">
        <w:lastRenderedPageBreak/>
        <w:t>a picture of costs over periods of time using activity-based costing (ABC) or similar techniques. However</w:t>
      </w:r>
      <w:r w:rsidR="00BC3ACB">
        <w:t>,</w:t>
      </w:r>
      <w:r w:rsidRPr="000F07A3">
        <w:t xml:space="preserve"> such techniques </w:t>
      </w:r>
      <w:r w:rsidR="0026476E">
        <w:t>can be</w:t>
      </w:r>
      <w:r w:rsidRPr="000F07A3">
        <w:t xml:space="preserve"> both time-consuming and difficult to implemen</w:t>
      </w:r>
      <w:r w:rsidR="00720E64">
        <w:t>t</w:t>
      </w:r>
      <w:r w:rsidRPr="000F07A3">
        <w:t>. Experience suggests that estimates of time spent provided by service experts (e.g. about 20% of time, or about 10 hours per week) will be reasonably accurate and not show a huge disparity from ABC data built up over a number of</w:t>
      </w:r>
      <w:r w:rsidR="00BC3ACB">
        <w:t xml:space="preserve"> weeks.</w:t>
      </w:r>
      <w:r w:rsidR="00F82461">
        <w:t xml:space="preserve"> This approach should be accurate enough to allow selection of the most important target </w:t>
      </w:r>
      <w:r w:rsidR="00545BD3">
        <w:t>indicators</w:t>
      </w:r>
      <w:r w:rsidR="00F82461">
        <w:t xml:space="preserve">, which will then need to be analysed in more detail. </w:t>
      </w:r>
    </w:p>
    <w:p w:rsidR="00C77E19" w:rsidRDefault="006450AD">
      <w:pPr>
        <w:pStyle w:val="A4ebullsub2"/>
        <w:numPr>
          <w:ilvl w:val="1"/>
          <w:numId w:val="25"/>
        </w:numPr>
        <w:tabs>
          <w:tab w:val="clear" w:pos="2149"/>
          <w:tab w:val="num" w:pos="1418"/>
        </w:tabs>
        <w:ind w:left="1418" w:hanging="425"/>
        <w:jc w:val="both"/>
      </w:pPr>
      <w:r>
        <w:rPr>
          <w:b/>
        </w:rPr>
        <w:t>In the case of local commissioners, u</w:t>
      </w:r>
      <w:r w:rsidR="000F07A3" w:rsidRPr="000F07A3">
        <w:rPr>
          <w:b/>
        </w:rPr>
        <w:t>se national data when local data is not available or not easily available</w:t>
      </w:r>
      <w:r w:rsidR="000F07A3" w:rsidRPr="000F07A3">
        <w:t>. Although local data is always preferable, it is often hard to collect and there are a number of national sources which can b</w:t>
      </w:r>
      <w:r w:rsidR="00720E64">
        <w:t xml:space="preserve">e used, for two purposes: </w:t>
      </w:r>
    </w:p>
    <w:p w:rsidR="00C77E19" w:rsidRDefault="00720E64">
      <w:pPr>
        <w:pStyle w:val="A4eNormal"/>
        <w:numPr>
          <w:ilvl w:val="1"/>
          <w:numId w:val="26"/>
        </w:numPr>
      </w:pPr>
      <w:r>
        <w:t>to provide a reasonable proxy for local data when it cannot be collected in reasonable time or at reasonable cost; and</w:t>
      </w:r>
      <w:r w:rsidR="006C4891">
        <w:t xml:space="preserve"> </w:t>
      </w:r>
      <w:r>
        <w:t>/</w:t>
      </w:r>
      <w:r w:rsidR="006C4891">
        <w:t xml:space="preserve"> </w:t>
      </w:r>
      <w:r>
        <w:t>or</w:t>
      </w:r>
    </w:p>
    <w:p w:rsidR="00C77E19" w:rsidRDefault="00BC3ACB">
      <w:pPr>
        <w:pStyle w:val="A4eNormal"/>
        <w:numPr>
          <w:ilvl w:val="1"/>
          <w:numId w:val="26"/>
        </w:numPr>
      </w:pPr>
      <w:proofErr w:type="gramStart"/>
      <w:r>
        <w:t>t</w:t>
      </w:r>
      <w:r w:rsidR="00720E64">
        <w:t>o</w:t>
      </w:r>
      <w:proofErr w:type="gramEnd"/>
      <w:r w:rsidR="00720E64">
        <w:t xml:space="preserve"> provide a base figure for local service experts to validate or challenge, thus more quickly enabling accurate local data to be produced.</w:t>
      </w:r>
    </w:p>
    <w:p w:rsidR="00720E64" w:rsidRDefault="000726B1" w:rsidP="00803651">
      <w:pPr>
        <w:pStyle w:val="A4ebullsub1"/>
        <w:numPr>
          <w:ilvl w:val="0"/>
          <w:numId w:val="26"/>
        </w:numPr>
      </w:pPr>
      <w:r>
        <w:rPr>
          <w:b/>
        </w:rPr>
        <w:t>Focus on ensuring high data quality for items which have the greatest impact on cost (the ‘</w:t>
      </w:r>
      <w:r w:rsidR="000F07A3" w:rsidRPr="000F07A3">
        <w:rPr>
          <w:b/>
        </w:rPr>
        <w:t>80</w:t>
      </w:r>
      <w:r w:rsidR="0026476E">
        <w:rPr>
          <w:b/>
        </w:rPr>
        <w:t xml:space="preserve"> </w:t>
      </w:r>
      <w:r w:rsidR="000F07A3" w:rsidRPr="000F07A3">
        <w:rPr>
          <w:b/>
        </w:rPr>
        <w:t>/</w:t>
      </w:r>
      <w:r w:rsidR="0026476E">
        <w:rPr>
          <w:b/>
        </w:rPr>
        <w:t xml:space="preserve"> </w:t>
      </w:r>
      <w:r w:rsidR="000F07A3" w:rsidRPr="000F07A3">
        <w:rPr>
          <w:b/>
        </w:rPr>
        <w:t>20 principle</w:t>
      </w:r>
      <w:r>
        <w:rPr>
          <w:b/>
        </w:rPr>
        <w:t>’)</w:t>
      </w:r>
      <w:r w:rsidR="00720E64">
        <w:t xml:space="preserve">. While it is important that the </w:t>
      </w:r>
      <w:r>
        <w:t xml:space="preserve">unit </w:t>
      </w:r>
      <w:r w:rsidR="00720E64">
        <w:t>cost data is accurate, it should also be remembered that variations in duration, volume</w:t>
      </w:r>
      <w:r w:rsidR="000F3230">
        <w:t xml:space="preserve"> </w:t>
      </w:r>
      <w:r w:rsidR="00720E64">
        <w:t>/</w:t>
      </w:r>
      <w:r w:rsidR="000F3230">
        <w:t xml:space="preserve"> </w:t>
      </w:r>
      <w:r w:rsidR="00720E64">
        <w:t>prevalence and impact of the intervention are all likely to have a bigger effect on the overall figures. It is therefore advisable to focus effort on getting as accurate data as possible in these categories.</w:t>
      </w:r>
    </w:p>
    <w:p w:rsidR="005103D9" w:rsidRDefault="005103D9" w:rsidP="005103D9">
      <w:pPr>
        <w:pStyle w:val="A4eHeading2"/>
      </w:pPr>
      <w:r>
        <w:t>Managing perverse incentives</w:t>
      </w:r>
    </w:p>
    <w:p w:rsidR="00910609" w:rsidRDefault="00FF3291" w:rsidP="00CA0D8E">
      <w:pPr>
        <w:pStyle w:val="A4eNormal"/>
      </w:pPr>
      <w:r w:rsidRPr="005103D9">
        <w:t>Perverse incentives need to be managed carefully</w:t>
      </w:r>
      <w:r w:rsidRPr="00FF3291">
        <w:t>.</w:t>
      </w:r>
      <w:r>
        <w:t xml:space="preserve"> For example, where </w:t>
      </w:r>
      <w:r w:rsidR="00CA0D8E">
        <w:t>a commissioner</w:t>
      </w:r>
      <w:r>
        <w:t xml:space="preserve"> is seeking to reduce the number of children who need to be taken into care</w:t>
      </w:r>
      <w:r w:rsidR="001F0E80">
        <w:t>, it is important not to compromise child protection</w:t>
      </w:r>
      <w:r>
        <w:t xml:space="preserve">. </w:t>
      </w:r>
      <w:r w:rsidR="00910609">
        <w:t>An intervention focussed on this outcome should be constructed so that incentives created do not influence the process of assessment of children.</w:t>
      </w:r>
    </w:p>
    <w:p w:rsidR="00720E64" w:rsidRDefault="00CA0D8E" w:rsidP="0015780B">
      <w:pPr>
        <w:pStyle w:val="A4eHeading1"/>
      </w:pPr>
      <w:r>
        <w:t>F</w:t>
      </w:r>
      <w:r w:rsidR="00720E64">
        <w:t>inancial model</w:t>
      </w:r>
      <w:r>
        <w:t>ling</w:t>
      </w:r>
    </w:p>
    <w:p w:rsidR="00720E64" w:rsidRDefault="00CA0D8E" w:rsidP="00D90931">
      <w:pPr>
        <w:pStyle w:val="A4eHeading2"/>
      </w:pPr>
      <w:r>
        <w:tab/>
        <w:t>Core modelling</w:t>
      </w:r>
    </w:p>
    <w:p w:rsidR="00720E64" w:rsidRDefault="00CA0D8E" w:rsidP="00D90931">
      <w:pPr>
        <w:pStyle w:val="A4eNormal"/>
      </w:pPr>
      <w:r>
        <w:t xml:space="preserve">In order to allow full </w:t>
      </w:r>
      <w:r w:rsidR="00720E64">
        <w:t>modelling of costs and benefits</w:t>
      </w:r>
      <w:r>
        <w:t>, i</w:t>
      </w:r>
      <w:r w:rsidR="00720E64">
        <w:t xml:space="preserve">n addition to the data collected in the template, </w:t>
      </w:r>
      <w:r>
        <w:t>it is also necessary</w:t>
      </w:r>
      <w:r w:rsidR="00720E64">
        <w:t xml:space="preserve"> to know:</w:t>
      </w:r>
    </w:p>
    <w:p w:rsidR="00720E64" w:rsidRDefault="00720E64" w:rsidP="00DE6CE4">
      <w:pPr>
        <w:pStyle w:val="A4eNormal"/>
        <w:numPr>
          <w:ilvl w:val="0"/>
          <w:numId w:val="13"/>
        </w:numPr>
      </w:pPr>
      <w:r>
        <w:t xml:space="preserve">the size of the cohort, i.e. the </w:t>
      </w:r>
      <w:r w:rsidR="00CA0D8E">
        <w:t xml:space="preserve">size of the population </w:t>
      </w:r>
      <w:r>
        <w:t>at which interventions are being targeted; and</w:t>
      </w:r>
    </w:p>
    <w:p w:rsidR="00720E64" w:rsidRDefault="00720E64" w:rsidP="00A12636">
      <w:pPr>
        <w:pStyle w:val="A4eNormal"/>
        <w:numPr>
          <w:ilvl w:val="0"/>
          <w:numId w:val="13"/>
        </w:numPr>
      </w:pPr>
      <w:proofErr w:type="gramStart"/>
      <w:r>
        <w:t>the</w:t>
      </w:r>
      <w:proofErr w:type="gramEnd"/>
      <w:r>
        <w:t xml:space="preserve"> cost of the intervention(s). </w:t>
      </w:r>
    </w:p>
    <w:p w:rsidR="00C77E19" w:rsidRDefault="000F07A3">
      <w:pPr>
        <w:pStyle w:val="A4eNormal"/>
      </w:pPr>
      <w:r w:rsidRPr="000F07A3">
        <w:rPr>
          <w:b/>
        </w:rPr>
        <w:t>The total size of the cohort</w:t>
      </w:r>
      <w:r w:rsidR="00720E64">
        <w:t xml:space="preserve"> should be known by reference to </w:t>
      </w:r>
      <w:r w:rsidR="00CA0D8E">
        <w:t>whatever definition of eligible population the commissioner selects</w:t>
      </w:r>
      <w:r w:rsidR="00720E64">
        <w:t>. However</w:t>
      </w:r>
      <w:r w:rsidR="001F0E80">
        <w:t>,</w:t>
      </w:r>
      <w:r w:rsidR="00720E64">
        <w:t xml:space="preserve"> </w:t>
      </w:r>
      <w:r w:rsidR="00CA0D8E">
        <w:t>commissioners</w:t>
      </w:r>
      <w:r w:rsidR="00720E64">
        <w:t xml:space="preserve"> may wish to make more </w:t>
      </w:r>
      <w:r w:rsidR="00720E64">
        <w:lastRenderedPageBreak/>
        <w:t xml:space="preserve">complex assumptions about how </w:t>
      </w:r>
      <w:r w:rsidR="00CA0D8E">
        <w:t>individuals</w:t>
      </w:r>
      <w:r w:rsidR="00720E64">
        <w:t xml:space="preserve"> are the subject of intervention at any one time. </w:t>
      </w:r>
      <w:r w:rsidR="00CA0D8E">
        <w:t>For example,</w:t>
      </w:r>
      <w:r w:rsidR="001F0E80">
        <w:t xml:space="preserve"> an overall </w:t>
      </w:r>
      <w:r w:rsidR="00720E64">
        <w:t xml:space="preserve">cohort </w:t>
      </w:r>
      <w:r w:rsidR="00CA0D8E">
        <w:t>might</w:t>
      </w:r>
      <w:r w:rsidR="00720E64">
        <w:t xml:space="preserve"> be divided into smaller cohorts assumed to start the programme at different times.</w:t>
      </w:r>
    </w:p>
    <w:p w:rsidR="00C77E19" w:rsidRDefault="000F07A3">
      <w:pPr>
        <w:pStyle w:val="A4eNormal"/>
      </w:pPr>
      <w:r w:rsidRPr="000F07A3">
        <w:rPr>
          <w:b/>
        </w:rPr>
        <w:t>The cost of the intervention</w:t>
      </w:r>
      <w:r w:rsidR="00720E64">
        <w:t xml:space="preserve"> is not required in order to calculate the </w:t>
      </w:r>
      <w:r w:rsidR="000E4FAB">
        <w:t xml:space="preserve">potential </w:t>
      </w:r>
      <w:r w:rsidR="00720E64">
        <w:t xml:space="preserve">savings that </w:t>
      </w:r>
      <w:r w:rsidR="000E4FAB">
        <w:t>can be drawn from to fund an intervention</w:t>
      </w:r>
      <w:r w:rsidR="00720E64">
        <w:t>. However</w:t>
      </w:r>
      <w:r w:rsidR="00DA6824">
        <w:t>,</w:t>
      </w:r>
      <w:r w:rsidR="00720E64">
        <w:t xml:space="preserve"> it will be needed if the </w:t>
      </w:r>
      <w:r w:rsidR="00CA0D8E">
        <w:t>commissioner</w:t>
      </w:r>
      <w:r w:rsidR="00720E64">
        <w:t xml:space="preserve"> wishes to calculate whether there is a positive business case for its proposals – i.e. whether the cost of intervention will be lower than the total savings made through improved outcomes.</w:t>
      </w:r>
    </w:p>
    <w:p w:rsidR="00C77E19" w:rsidRDefault="00CA0D8E">
      <w:pPr>
        <w:pStyle w:val="A4eNormal"/>
      </w:pPr>
      <w:r>
        <w:t>Commissioners</w:t>
      </w:r>
      <w:r w:rsidR="00720E64">
        <w:t xml:space="preserve"> </w:t>
      </w:r>
      <w:r w:rsidR="000E4FAB">
        <w:t>may need information from their delivery partners for</w:t>
      </w:r>
      <w:r w:rsidR="00720E64">
        <w:t xml:space="preserve"> estimating the cost of </w:t>
      </w:r>
      <w:r w:rsidR="000E4FAB">
        <w:t xml:space="preserve">the </w:t>
      </w:r>
      <w:r w:rsidR="00720E64">
        <w:t xml:space="preserve">intervention including </w:t>
      </w:r>
      <w:r w:rsidR="000E4FAB">
        <w:t>service costs, the cost of raising capital, investor returns, legal and other set-up costs, performance management, and evaluation</w:t>
      </w:r>
      <w:r w:rsidR="00720E64">
        <w:t>.</w:t>
      </w:r>
    </w:p>
    <w:p w:rsidR="00C77E19" w:rsidRDefault="00CA0D8E">
      <w:pPr>
        <w:pStyle w:val="A4eHeading2"/>
      </w:pPr>
      <w:r>
        <w:t>Detailed modelling</w:t>
      </w:r>
    </w:p>
    <w:p w:rsidR="00C07F20" w:rsidRDefault="00A71CD2">
      <w:pPr>
        <w:pStyle w:val="A4eNormal"/>
      </w:pPr>
      <w:r>
        <w:t>The information set out in the template</w:t>
      </w:r>
      <w:r w:rsidR="00EA1160">
        <w:t>,</w:t>
      </w:r>
      <w:r>
        <w:t xml:space="preserve"> together with that set out in section 5.1 above</w:t>
      </w:r>
      <w:r w:rsidR="00EA1160">
        <w:t>,</w:t>
      </w:r>
      <w:r>
        <w:t xml:space="preserve"> is usually sufficient to enable the business case for a SIB to be modelled.  However</w:t>
      </w:r>
      <w:r w:rsidR="0051451E">
        <w:t>,</w:t>
      </w:r>
      <w:r>
        <w:t xml:space="preserve"> commissioners may need or wish to make more sophisticated calculations – for example </w:t>
      </w:r>
      <w:r w:rsidR="000E4FAB">
        <w:t xml:space="preserve">a cash flow model that incorporates </w:t>
      </w:r>
      <w:r>
        <w:t xml:space="preserve">the timing of </w:t>
      </w:r>
      <w:r w:rsidR="000E4FAB">
        <w:t>payments from the commissioner</w:t>
      </w:r>
      <w:r>
        <w:t xml:space="preserve"> and </w:t>
      </w:r>
      <w:r w:rsidR="000E4FAB">
        <w:t xml:space="preserve">savings </w:t>
      </w:r>
      <w:r w:rsidR="00A62505">
        <w:t xml:space="preserve">that </w:t>
      </w:r>
      <w:r>
        <w:t>arise</w:t>
      </w:r>
      <w:r w:rsidR="001D5C99">
        <w:t>.</w:t>
      </w:r>
    </w:p>
    <w:p w:rsidR="004B2F90" w:rsidRDefault="00C07F20">
      <w:pPr>
        <w:pStyle w:val="A4eNormal"/>
      </w:pPr>
      <w:r>
        <w:t xml:space="preserve">They may also wish to run </w:t>
      </w:r>
      <w:r w:rsidR="00A71CD2">
        <w:t>sensitivity</w:t>
      </w:r>
      <w:r>
        <w:t xml:space="preserve"> </w:t>
      </w:r>
      <w:r w:rsidR="00A71CD2">
        <w:t>analysis</w:t>
      </w:r>
      <w:r>
        <w:t xml:space="preserve"> on their </w:t>
      </w:r>
      <w:r w:rsidR="00A71CD2">
        <w:t>calculations</w:t>
      </w:r>
      <w:r>
        <w:t xml:space="preserve"> to take </w:t>
      </w:r>
      <w:r w:rsidR="00A71CD2">
        <w:t>account</w:t>
      </w:r>
      <w:r>
        <w:t xml:space="preserve"> of key variables including, for example, prevalence and impact being lower (or higher) than estimated.</w:t>
      </w:r>
    </w:p>
    <w:p w:rsidR="002E019C" w:rsidRDefault="002E019C" w:rsidP="002E019C">
      <w:pPr>
        <w:pStyle w:val="A4eHeading1"/>
      </w:pPr>
      <w:r>
        <w:t>Further information</w:t>
      </w:r>
    </w:p>
    <w:p w:rsidR="002E019C" w:rsidRDefault="002E019C" w:rsidP="002E019C">
      <w:pPr>
        <w:pStyle w:val="A4eNormal"/>
      </w:pPr>
      <w:r>
        <w:t xml:space="preserve">Further information is available at </w:t>
      </w:r>
      <w:hyperlink r:id="rId9" w:history="1">
        <w:r w:rsidRPr="00473804">
          <w:rPr>
            <w:rStyle w:val="Hyperlink"/>
          </w:rPr>
          <w:t>https://www.gov.uk/social-impact-bonds</w:t>
        </w:r>
      </w:hyperlink>
      <w:r>
        <w:t xml:space="preserve"> or by emailing sibs@cabinet-office.gsi.gov.uk</w:t>
      </w:r>
    </w:p>
    <w:p w:rsidR="002E019C" w:rsidRDefault="002E019C" w:rsidP="002E019C">
      <w:pPr>
        <w:pStyle w:val="A4eNormal"/>
      </w:pPr>
    </w:p>
    <w:p w:rsidR="002E019C" w:rsidRDefault="002E019C" w:rsidP="002E019C">
      <w:pPr>
        <w:pStyle w:val="A4eNormal"/>
      </w:pPr>
    </w:p>
    <w:p w:rsidR="002E019C" w:rsidRDefault="002E019C">
      <w:pPr>
        <w:pStyle w:val="A4eNormal"/>
      </w:pPr>
    </w:p>
    <w:sectPr w:rsidR="002E019C" w:rsidSect="00C83F4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39" w:rsidRDefault="001C0B39" w:rsidP="00D90931">
      <w:pPr>
        <w:spacing w:after="0" w:line="240" w:lineRule="auto"/>
      </w:pPr>
      <w:r>
        <w:separator/>
      </w:r>
    </w:p>
  </w:endnote>
  <w:endnote w:type="continuationSeparator" w:id="0">
    <w:p w:rsidR="001C0B39" w:rsidRDefault="001C0B39" w:rsidP="00D9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9" w:rsidRDefault="00910609" w:rsidP="001D5C9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9" w:rsidRDefault="00910609" w:rsidP="001D5C99">
    <w:pPr>
      <w:pStyle w:val="Footer"/>
      <w:jc w:val="center"/>
    </w:pPr>
  </w:p>
  <w:p w:rsidR="00910609" w:rsidRDefault="004D1B55" w:rsidP="001D5C99">
    <w:pPr>
      <w:pStyle w:val="Footer"/>
      <w:jc w:val="center"/>
    </w:pPr>
    <w:sdt>
      <w:sdtPr>
        <w:id w:val="22613610"/>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rsidR="00910609" w:rsidRDefault="00910609" w:rsidP="001D5C9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9" w:rsidRDefault="00910609" w:rsidP="001D5C9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39" w:rsidRDefault="001C0B39" w:rsidP="00D90931">
      <w:pPr>
        <w:spacing w:after="0" w:line="240" w:lineRule="auto"/>
      </w:pPr>
      <w:r>
        <w:separator/>
      </w:r>
    </w:p>
  </w:footnote>
  <w:footnote w:type="continuationSeparator" w:id="0">
    <w:p w:rsidR="001C0B39" w:rsidRDefault="001C0B39" w:rsidP="00D90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9" w:rsidRDefault="00910609" w:rsidP="001D5C9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9" w:rsidRDefault="00910609" w:rsidP="001D5C99">
    <w:pPr>
      <w:pStyle w:val="Header"/>
      <w:jc w:val="center"/>
      <w:rPr>
        <w:color w:val="000000"/>
      </w:rPr>
    </w:pPr>
  </w:p>
  <w:p w:rsidR="00AB44CC" w:rsidRDefault="00577997" w:rsidP="001D5C99">
    <w:pPr>
      <w:pStyle w:val="Header"/>
      <w:jc w:val="center"/>
      <w:rPr>
        <w:noProof/>
      </w:rPr>
    </w:pPr>
    <w:r>
      <w:rPr>
        <w:noProof/>
        <w:lang w:val="en-IE" w:eastAsia="en-IE"/>
      </w:rPr>
      <w:drawing>
        <wp:inline distT="0" distB="0" distL="0" distR="0">
          <wp:extent cx="2266950" cy="286897"/>
          <wp:effectExtent l="19050" t="0" r="0" b="0"/>
          <wp:docPr id="3" name="Picture 1" descr="http://www.cabweb.gsi.gov.uk/NR/rdonlyres/9F686653-ED5F-48A9-9186-ECB659B4505A/0/COLOGO2009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bweb.gsi.gov.uk/NR/rdonlyres/9F686653-ED5F-48A9-9186-ECB659B4505A/0/COLOGO2009_web.jpg"/>
                  <pic:cNvPicPr>
                    <a:picLocks noChangeAspect="1" noChangeArrowheads="1"/>
                  </pic:cNvPicPr>
                </pic:nvPicPr>
                <pic:blipFill>
                  <a:blip r:embed="rId1"/>
                  <a:srcRect/>
                  <a:stretch>
                    <a:fillRect/>
                  </a:stretch>
                </pic:blipFill>
                <pic:spPr bwMode="auto">
                  <a:xfrm>
                    <a:off x="0" y="0"/>
                    <a:ext cx="2271227" cy="287438"/>
                  </a:xfrm>
                  <a:prstGeom prst="rect">
                    <a:avLst/>
                  </a:prstGeom>
                  <a:noFill/>
                  <a:ln w="9525">
                    <a:noFill/>
                    <a:miter lim="800000"/>
                    <a:headEnd/>
                    <a:tailEnd/>
                  </a:ln>
                </pic:spPr>
              </pic:pic>
            </a:graphicData>
          </a:graphic>
        </wp:inline>
      </w:drawing>
    </w:r>
    <w:r w:rsidR="004314E7">
      <w:rPr>
        <w:noProof/>
      </w:rPr>
      <w:tab/>
    </w:r>
    <w:r w:rsidR="00AC02CC">
      <w:rPr>
        <w:noProof/>
        <w:color w:val="000000"/>
        <w:lang w:val="en-IE" w:eastAsia="en-IE"/>
      </w:rPr>
      <w:drawing>
        <wp:inline distT="0" distB="0" distL="0" distR="0">
          <wp:extent cx="1007493" cy="468208"/>
          <wp:effectExtent l="19050" t="0" r="2157" b="0"/>
          <wp:docPr id="2" name="Picture 1" descr="C:\Users\Neil\Documents\Marketing\logo final.jpg"/>
          <wp:cNvGraphicFramePr/>
          <a:graphic xmlns:a="http://schemas.openxmlformats.org/drawingml/2006/main">
            <a:graphicData uri="http://schemas.openxmlformats.org/drawingml/2006/picture">
              <pic:pic xmlns:pic="http://schemas.openxmlformats.org/drawingml/2006/picture">
                <pic:nvPicPr>
                  <pic:cNvPr id="3" name="Picture 2" descr="C:\Users\Neil\Documents\Marketing\logo final.jpg"/>
                  <pic:cNvPicPr/>
                </pic:nvPicPr>
                <pic:blipFill>
                  <a:blip r:embed="rId2" cstate="print"/>
                  <a:srcRect/>
                  <a:stretch>
                    <a:fillRect/>
                  </a:stretch>
                </pic:blipFill>
                <pic:spPr bwMode="auto">
                  <a:xfrm>
                    <a:off x="0" y="0"/>
                    <a:ext cx="1007756" cy="468330"/>
                  </a:xfrm>
                  <a:prstGeom prst="rect">
                    <a:avLst/>
                  </a:prstGeom>
                  <a:noFill/>
                  <a:ln w="9525">
                    <a:noFill/>
                    <a:miter lim="800000"/>
                    <a:headEnd/>
                    <a:tailEnd/>
                  </a:ln>
                </pic:spPr>
              </pic:pic>
            </a:graphicData>
          </a:graphic>
        </wp:inline>
      </w:drawing>
    </w:r>
  </w:p>
  <w:p w:rsidR="00577997" w:rsidRDefault="00577997" w:rsidP="001D5C99">
    <w:pPr>
      <w:pStyle w:val="Header"/>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09" w:rsidRDefault="00910609" w:rsidP="001D5C9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96D0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0CC87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E6A5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80D4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B88B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AEAB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504A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FC1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FC98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BE9856"/>
    <w:lvl w:ilvl="0">
      <w:start w:val="1"/>
      <w:numFmt w:val="bullet"/>
      <w:lvlText w:val=""/>
      <w:lvlJc w:val="left"/>
      <w:pPr>
        <w:tabs>
          <w:tab w:val="num" w:pos="360"/>
        </w:tabs>
        <w:ind w:left="360" w:hanging="360"/>
      </w:pPr>
      <w:rPr>
        <w:rFonts w:ascii="Symbol" w:hAnsi="Symbol" w:hint="default"/>
      </w:rPr>
    </w:lvl>
  </w:abstractNum>
  <w:abstractNum w:abstractNumId="10">
    <w:nsid w:val="03237E89"/>
    <w:multiLevelType w:val="multilevel"/>
    <w:tmpl w:val="6A468356"/>
    <w:lvl w:ilvl="0">
      <w:start w:val="1"/>
      <w:numFmt w:val="decimal"/>
      <w:pStyle w:val="A4eHeading1"/>
      <w:lvlText w:val="%1."/>
      <w:lvlJc w:val="left"/>
      <w:pPr>
        <w:tabs>
          <w:tab w:val="num" w:pos="709"/>
        </w:tabs>
        <w:ind w:left="709" w:hanging="709"/>
      </w:pPr>
      <w:rPr>
        <w:rFonts w:cs="Times New Roman" w:hint="default"/>
      </w:rPr>
    </w:lvl>
    <w:lvl w:ilvl="1">
      <w:start w:val="1"/>
      <w:numFmt w:val="decimal"/>
      <w:pStyle w:val="A4eHeading2"/>
      <w:lvlText w:val="%1.%2"/>
      <w:lvlJc w:val="left"/>
      <w:pPr>
        <w:tabs>
          <w:tab w:val="num" w:pos="709"/>
        </w:tabs>
        <w:ind w:left="709" w:hanging="709"/>
      </w:pPr>
      <w:rPr>
        <w:rFonts w:cs="Times New Roman" w:hint="default"/>
      </w:rPr>
    </w:lvl>
    <w:lvl w:ilvl="2">
      <w:start w:val="1"/>
      <w:numFmt w:val="decimal"/>
      <w:pStyle w:val="A4eHeading3"/>
      <w:lvlText w:val="%1.%2.%3"/>
      <w:lvlJc w:val="left"/>
      <w:pPr>
        <w:tabs>
          <w:tab w:val="num" w:pos="709"/>
        </w:tabs>
        <w:ind w:left="709" w:hanging="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073831A6"/>
    <w:multiLevelType w:val="multilevel"/>
    <w:tmpl w:val="B1A82AD6"/>
    <w:lvl w:ilvl="0">
      <w:start w:val="1"/>
      <w:numFmt w:val="bullet"/>
      <w:lvlText w:val=""/>
      <w:lvlJc w:val="left"/>
      <w:pPr>
        <w:ind w:left="1429" w:hanging="360"/>
      </w:pPr>
      <w:rPr>
        <w:rFonts w:ascii="Symbol" w:hAnsi="Symbol" w:hint="default"/>
      </w:rPr>
    </w:lvl>
    <w:lvl w:ilvl="1">
      <w:start w:val="1"/>
      <w:numFmt w:val="bullet"/>
      <w:lvlText w:val="~"/>
      <w:lvlJc w:val="left"/>
      <w:pPr>
        <w:tabs>
          <w:tab w:val="num" w:pos="2214"/>
        </w:tabs>
        <w:ind w:left="2214" w:hanging="425"/>
      </w:pPr>
      <w:rPr>
        <w:rFonts w:ascii="Arial Narrow" w:hAnsi="Arial Narrow" w:hint="default"/>
        <w:color w:val="333399"/>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08096F2F"/>
    <w:multiLevelType w:val="hybridMultilevel"/>
    <w:tmpl w:val="0EF2BF16"/>
    <w:lvl w:ilvl="0" w:tplc="70528F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09122B98"/>
    <w:multiLevelType w:val="hybridMultilevel"/>
    <w:tmpl w:val="3A3EE9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28C01C9"/>
    <w:multiLevelType w:val="hybridMultilevel"/>
    <w:tmpl w:val="6986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0055BF"/>
    <w:multiLevelType w:val="hybridMultilevel"/>
    <w:tmpl w:val="B686B10E"/>
    <w:lvl w:ilvl="0" w:tplc="08090001">
      <w:start w:val="1"/>
      <w:numFmt w:val="bullet"/>
      <w:lvlText w:val=""/>
      <w:lvlJc w:val="left"/>
      <w:pPr>
        <w:ind w:left="1429" w:hanging="360"/>
      </w:pPr>
      <w:rPr>
        <w:rFonts w:ascii="Symbol" w:hAnsi="Symbol" w:hint="default"/>
      </w:rPr>
    </w:lvl>
    <w:lvl w:ilvl="1" w:tplc="0809000F">
      <w:start w:val="1"/>
      <w:numFmt w:val="decimal"/>
      <w:lvlText w:val="%2."/>
      <w:lvlJc w:val="left"/>
      <w:pPr>
        <w:tabs>
          <w:tab w:val="num" w:pos="2149"/>
        </w:tabs>
        <w:ind w:left="2149" w:hanging="360"/>
      </w:pPr>
      <w:rPr>
        <w:rFonts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27354FCD"/>
    <w:multiLevelType w:val="hybridMultilevel"/>
    <w:tmpl w:val="6A20A4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F551B08"/>
    <w:multiLevelType w:val="hybridMultilevel"/>
    <w:tmpl w:val="FE468356"/>
    <w:lvl w:ilvl="0" w:tplc="E4F05832">
      <w:start w:val="1"/>
      <w:numFmt w:val="bullet"/>
      <w:pStyle w:val="A4ebullsub1"/>
      <w:lvlText w:val=""/>
      <w:lvlJc w:val="left"/>
      <w:pPr>
        <w:tabs>
          <w:tab w:val="num" w:pos="1134"/>
        </w:tabs>
        <w:ind w:left="1134" w:hanging="425"/>
      </w:pPr>
      <w:rPr>
        <w:rFonts w:ascii="Symbol" w:hAnsi="Symbol" w:hint="default"/>
        <w:color w:val="333399"/>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006008"/>
    <w:multiLevelType w:val="hybridMultilevel"/>
    <w:tmpl w:val="BF5CD8E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3776735C"/>
    <w:multiLevelType w:val="hybridMultilevel"/>
    <w:tmpl w:val="B7AA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432588"/>
    <w:multiLevelType w:val="hybridMultilevel"/>
    <w:tmpl w:val="F51E32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5FEA67EA"/>
    <w:multiLevelType w:val="hybridMultilevel"/>
    <w:tmpl w:val="A45CD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63725583"/>
    <w:multiLevelType w:val="hybridMultilevel"/>
    <w:tmpl w:val="B1A82AD6"/>
    <w:lvl w:ilvl="0" w:tplc="08090001">
      <w:start w:val="1"/>
      <w:numFmt w:val="bullet"/>
      <w:lvlText w:val=""/>
      <w:lvlJc w:val="left"/>
      <w:pPr>
        <w:ind w:left="1429" w:hanging="360"/>
      </w:pPr>
      <w:rPr>
        <w:rFonts w:ascii="Symbol" w:hAnsi="Symbol" w:hint="default"/>
      </w:rPr>
    </w:lvl>
    <w:lvl w:ilvl="1" w:tplc="CFCEB564">
      <w:start w:val="1"/>
      <w:numFmt w:val="bullet"/>
      <w:pStyle w:val="A4ebullsub2"/>
      <w:lvlText w:val="~"/>
      <w:lvlJc w:val="left"/>
      <w:pPr>
        <w:tabs>
          <w:tab w:val="num" w:pos="2214"/>
        </w:tabs>
        <w:ind w:left="2214" w:hanging="425"/>
      </w:pPr>
      <w:rPr>
        <w:rFonts w:ascii="Arial Narrow" w:hAnsi="Arial Narrow" w:hint="default"/>
        <w:color w:val="333399"/>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723B0A96"/>
    <w:multiLevelType w:val="hybridMultilevel"/>
    <w:tmpl w:val="BCCC77D2"/>
    <w:lvl w:ilvl="0" w:tplc="08090001">
      <w:start w:val="1"/>
      <w:numFmt w:val="bullet"/>
      <w:lvlText w:val=""/>
      <w:lvlJc w:val="left"/>
      <w:pPr>
        <w:ind w:left="1429" w:hanging="360"/>
      </w:pPr>
      <w:rPr>
        <w:rFonts w:ascii="Symbol" w:hAnsi="Symbol" w:hint="default"/>
      </w:rPr>
    </w:lvl>
    <w:lvl w:ilvl="1" w:tplc="A23C52EA">
      <w:start w:val="1"/>
      <w:numFmt w:val="bullet"/>
      <w:lvlText w:val=""/>
      <w:lvlJc w:val="left"/>
      <w:pPr>
        <w:tabs>
          <w:tab w:val="num" w:pos="2149"/>
        </w:tabs>
        <w:ind w:left="2149" w:hanging="360"/>
      </w:pPr>
      <w:rPr>
        <w:rFonts w:ascii="Symbol" w:hAnsi="Symbol" w:hint="default"/>
        <w:color w:val="auto"/>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14"/>
  </w:num>
  <w:num w:numId="4">
    <w:abstractNumId w:val="19"/>
  </w:num>
  <w:num w:numId="5">
    <w:abstractNumId w:val="20"/>
  </w:num>
  <w:num w:numId="6">
    <w:abstractNumId w:val="10"/>
  </w:num>
  <w:num w:numId="7">
    <w:abstractNumId w:val="10"/>
  </w:num>
  <w:num w:numId="8">
    <w:abstractNumId w:val="16"/>
  </w:num>
  <w:num w:numId="9">
    <w:abstractNumId w:val="18"/>
  </w:num>
  <w:num w:numId="10">
    <w:abstractNumId w:val="10"/>
  </w:num>
  <w:num w:numId="11">
    <w:abstractNumId w:val="10"/>
  </w:num>
  <w:num w:numId="12">
    <w:abstractNumId w:val="10"/>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23"/>
  </w:num>
  <w:num w:numId="26">
    <w:abstractNumId w:val="15"/>
  </w:num>
  <w:num w:numId="27">
    <w:abstractNumId w:val="21"/>
  </w:num>
  <w:num w:numId="28">
    <w:abstractNumId w:val="10"/>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31"/>
    <w:rsid w:val="00011C63"/>
    <w:rsid w:val="000146B4"/>
    <w:rsid w:val="00022FCD"/>
    <w:rsid w:val="00031AF2"/>
    <w:rsid w:val="000336F2"/>
    <w:rsid w:val="00060CAD"/>
    <w:rsid w:val="00061A4B"/>
    <w:rsid w:val="00063C07"/>
    <w:rsid w:val="000726B1"/>
    <w:rsid w:val="000867A5"/>
    <w:rsid w:val="000946D8"/>
    <w:rsid w:val="000B127C"/>
    <w:rsid w:val="000B14A6"/>
    <w:rsid w:val="000C4E25"/>
    <w:rsid w:val="000E4FAB"/>
    <w:rsid w:val="000E5BAB"/>
    <w:rsid w:val="000F07A3"/>
    <w:rsid w:val="000F3230"/>
    <w:rsid w:val="00144C43"/>
    <w:rsid w:val="0015780B"/>
    <w:rsid w:val="0016020A"/>
    <w:rsid w:val="001B3AE9"/>
    <w:rsid w:val="001C0B39"/>
    <w:rsid w:val="001D5C99"/>
    <w:rsid w:val="001E1A19"/>
    <w:rsid w:val="001F0E80"/>
    <w:rsid w:val="001F4B38"/>
    <w:rsid w:val="001F6C7D"/>
    <w:rsid w:val="002210F7"/>
    <w:rsid w:val="002326D0"/>
    <w:rsid w:val="0026476E"/>
    <w:rsid w:val="002759A9"/>
    <w:rsid w:val="002B5875"/>
    <w:rsid w:val="002B5C01"/>
    <w:rsid w:val="002B7057"/>
    <w:rsid w:val="002E019C"/>
    <w:rsid w:val="002F5832"/>
    <w:rsid w:val="00302535"/>
    <w:rsid w:val="00306766"/>
    <w:rsid w:val="0031099F"/>
    <w:rsid w:val="00312E94"/>
    <w:rsid w:val="00313614"/>
    <w:rsid w:val="00322BE3"/>
    <w:rsid w:val="003238F2"/>
    <w:rsid w:val="00324AC9"/>
    <w:rsid w:val="0036781A"/>
    <w:rsid w:val="0038565C"/>
    <w:rsid w:val="00393944"/>
    <w:rsid w:val="00395B02"/>
    <w:rsid w:val="003A36BD"/>
    <w:rsid w:val="003C5AD3"/>
    <w:rsid w:val="003D5E69"/>
    <w:rsid w:val="003E4B85"/>
    <w:rsid w:val="003F62C8"/>
    <w:rsid w:val="00400B13"/>
    <w:rsid w:val="00420FEE"/>
    <w:rsid w:val="00421A29"/>
    <w:rsid w:val="00422CEE"/>
    <w:rsid w:val="004262EC"/>
    <w:rsid w:val="004314E7"/>
    <w:rsid w:val="00442184"/>
    <w:rsid w:val="00457E3E"/>
    <w:rsid w:val="00466AE7"/>
    <w:rsid w:val="004675FA"/>
    <w:rsid w:val="00470F51"/>
    <w:rsid w:val="00485A1B"/>
    <w:rsid w:val="004A30BB"/>
    <w:rsid w:val="004B2594"/>
    <w:rsid w:val="004B2F90"/>
    <w:rsid w:val="004D097D"/>
    <w:rsid w:val="004D1B55"/>
    <w:rsid w:val="004E37B4"/>
    <w:rsid w:val="00501F82"/>
    <w:rsid w:val="0050238A"/>
    <w:rsid w:val="0050728F"/>
    <w:rsid w:val="005103D9"/>
    <w:rsid w:val="0051451E"/>
    <w:rsid w:val="00537DBF"/>
    <w:rsid w:val="0054176F"/>
    <w:rsid w:val="00543B2E"/>
    <w:rsid w:val="00545BD3"/>
    <w:rsid w:val="005722FF"/>
    <w:rsid w:val="00572793"/>
    <w:rsid w:val="00577997"/>
    <w:rsid w:val="005821C2"/>
    <w:rsid w:val="00590732"/>
    <w:rsid w:val="005A3D27"/>
    <w:rsid w:val="005C3303"/>
    <w:rsid w:val="005D2292"/>
    <w:rsid w:val="005D583D"/>
    <w:rsid w:val="005D5E37"/>
    <w:rsid w:val="005D740D"/>
    <w:rsid w:val="005E7AD1"/>
    <w:rsid w:val="00636003"/>
    <w:rsid w:val="006450AD"/>
    <w:rsid w:val="00656753"/>
    <w:rsid w:val="00657368"/>
    <w:rsid w:val="00662FF4"/>
    <w:rsid w:val="00663C07"/>
    <w:rsid w:val="006654B2"/>
    <w:rsid w:val="00671A61"/>
    <w:rsid w:val="0067519D"/>
    <w:rsid w:val="0068591E"/>
    <w:rsid w:val="00693627"/>
    <w:rsid w:val="00696BA4"/>
    <w:rsid w:val="006A4AC6"/>
    <w:rsid w:val="006C4891"/>
    <w:rsid w:val="006D070F"/>
    <w:rsid w:val="006D1D21"/>
    <w:rsid w:val="006F57ED"/>
    <w:rsid w:val="00705DAE"/>
    <w:rsid w:val="00711B48"/>
    <w:rsid w:val="00720E64"/>
    <w:rsid w:val="00741F28"/>
    <w:rsid w:val="00763D23"/>
    <w:rsid w:val="00782023"/>
    <w:rsid w:val="00793D5F"/>
    <w:rsid w:val="00794AA3"/>
    <w:rsid w:val="007A3473"/>
    <w:rsid w:val="007A4566"/>
    <w:rsid w:val="007C02BC"/>
    <w:rsid w:val="007C1FAA"/>
    <w:rsid w:val="007E1362"/>
    <w:rsid w:val="007F25F3"/>
    <w:rsid w:val="00803651"/>
    <w:rsid w:val="00807EE1"/>
    <w:rsid w:val="00822204"/>
    <w:rsid w:val="0082550F"/>
    <w:rsid w:val="00833B80"/>
    <w:rsid w:val="00841F54"/>
    <w:rsid w:val="00865A4E"/>
    <w:rsid w:val="0087231E"/>
    <w:rsid w:val="00873AED"/>
    <w:rsid w:val="008744B6"/>
    <w:rsid w:val="00881347"/>
    <w:rsid w:val="00886B09"/>
    <w:rsid w:val="008B3082"/>
    <w:rsid w:val="008B6AC1"/>
    <w:rsid w:val="008C13BA"/>
    <w:rsid w:val="008C7549"/>
    <w:rsid w:val="008F7048"/>
    <w:rsid w:val="00910609"/>
    <w:rsid w:val="009131AC"/>
    <w:rsid w:val="0092445D"/>
    <w:rsid w:val="00933DFD"/>
    <w:rsid w:val="009726D0"/>
    <w:rsid w:val="009858AD"/>
    <w:rsid w:val="009925EE"/>
    <w:rsid w:val="00992A3C"/>
    <w:rsid w:val="009A085D"/>
    <w:rsid w:val="009A2066"/>
    <w:rsid w:val="009A36AF"/>
    <w:rsid w:val="009A53E9"/>
    <w:rsid w:val="009B6C69"/>
    <w:rsid w:val="009C0D75"/>
    <w:rsid w:val="009C11FD"/>
    <w:rsid w:val="009E5F7C"/>
    <w:rsid w:val="00A05626"/>
    <w:rsid w:val="00A06D82"/>
    <w:rsid w:val="00A10227"/>
    <w:rsid w:val="00A12636"/>
    <w:rsid w:val="00A135BE"/>
    <w:rsid w:val="00A1513F"/>
    <w:rsid w:val="00A355AF"/>
    <w:rsid w:val="00A521C6"/>
    <w:rsid w:val="00A5738C"/>
    <w:rsid w:val="00A62505"/>
    <w:rsid w:val="00A71CD2"/>
    <w:rsid w:val="00A81CA1"/>
    <w:rsid w:val="00AB218E"/>
    <w:rsid w:val="00AB44CC"/>
    <w:rsid w:val="00AC02CC"/>
    <w:rsid w:val="00AC372E"/>
    <w:rsid w:val="00AC3D52"/>
    <w:rsid w:val="00AC5BD4"/>
    <w:rsid w:val="00AC5E69"/>
    <w:rsid w:val="00AD0B1B"/>
    <w:rsid w:val="00AD3470"/>
    <w:rsid w:val="00AF3202"/>
    <w:rsid w:val="00AF56AA"/>
    <w:rsid w:val="00AF63EE"/>
    <w:rsid w:val="00B03C2A"/>
    <w:rsid w:val="00B15941"/>
    <w:rsid w:val="00B175CC"/>
    <w:rsid w:val="00B32F27"/>
    <w:rsid w:val="00B354E3"/>
    <w:rsid w:val="00B44A82"/>
    <w:rsid w:val="00B4527D"/>
    <w:rsid w:val="00B61C2A"/>
    <w:rsid w:val="00B70742"/>
    <w:rsid w:val="00B74201"/>
    <w:rsid w:val="00B95AD8"/>
    <w:rsid w:val="00BA27DD"/>
    <w:rsid w:val="00BC2995"/>
    <w:rsid w:val="00BC3ACB"/>
    <w:rsid w:val="00BD2E48"/>
    <w:rsid w:val="00BF289F"/>
    <w:rsid w:val="00BF7E41"/>
    <w:rsid w:val="00C00A8D"/>
    <w:rsid w:val="00C00C5E"/>
    <w:rsid w:val="00C0130E"/>
    <w:rsid w:val="00C02CC6"/>
    <w:rsid w:val="00C053CD"/>
    <w:rsid w:val="00C07F20"/>
    <w:rsid w:val="00C23AFD"/>
    <w:rsid w:val="00C257EF"/>
    <w:rsid w:val="00C54858"/>
    <w:rsid w:val="00C5629B"/>
    <w:rsid w:val="00C63C08"/>
    <w:rsid w:val="00C77E19"/>
    <w:rsid w:val="00C8211E"/>
    <w:rsid w:val="00C83F4D"/>
    <w:rsid w:val="00CA0D8E"/>
    <w:rsid w:val="00CB2834"/>
    <w:rsid w:val="00CC772E"/>
    <w:rsid w:val="00CE60E8"/>
    <w:rsid w:val="00CF5164"/>
    <w:rsid w:val="00D008E2"/>
    <w:rsid w:val="00D179B6"/>
    <w:rsid w:val="00D30025"/>
    <w:rsid w:val="00D33C2A"/>
    <w:rsid w:val="00D47D9F"/>
    <w:rsid w:val="00D52AF8"/>
    <w:rsid w:val="00D60CD8"/>
    <w:rsid w:val="00D658D0"/>
    <w:rsid w:val="00D86AE5"/>
    <w:rsid w:val="00D90267"/>
    <w:rsid w:val="00D90931"/>
    <w:rsid w:val="00D9285E"/>
    <w:rsid w:val="00D96081"/>
    <w:rsid w:val="00DA6824"/>
    <w:rsid w:val="00DC386D"/>
    <w:rsid w:val="00DD0ED3"/>
    <w:rsid w:val="00DD2A93"/>
    <w:rsid w:val="00DD6FF9"/>
    <w:rsid w:val="00DE63AA"/>
    <w:rsid w:val="00DE6CE4"/>
    <w:rsid w:val="00DF64F7"/>
    <w:rsid w:val="00E22AD9"/>
    <w:rsid w:val="00E262AC"/>
    <w:rsid w:val="00E34318"/>
    <w:rsid w:val="00E447D7"/>
    <w:rsid w:val="00E934DD"/>
    <w:rsid w:val="00EA1160"/>
    <w:rsid w:val="00EC1D27"/>
    <w:rsid w:val="00EC6011"/>
    <w:rsid w:val="00ED3E78"/>
    <w:rsid w:val="00EE0566"/>
    <w:rsid w:val="00EE07C6"/>
    <w:rsid w:val="00EF2A26"/>
    <w:rsid w:val="00F20A7B"/>
    <w:rsid w:val="00F24B5D"/>
    <w:rsid w:val="00F61FFC"/>
    <w:rsid w:val="00F7237C"/>
    <w:rsid w:val="00F82461"/>
    <w:rsid w:val="00F90303"/>
    <w:rsid w:val="00F945EB"/>
    <w:rsid w:val="00FA0680"/>
    <w:rsid w:val="00FA4865"/>
    <w:rsid w:val="00FB6A5F"/>
    <w:rsid w:val="00FC6468"/>
    <w:rsid w:val="00FE33A3"/>
    <w:rsid w:val="00FF32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09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90931"/>
    <w:rPr>
      <w:rFonts w:cs="Times New Roman"/>
    </w:rPr>
  </w:style>
  <w:style w:type="paragraph" w:styleId="Footer">
    <w:name w:val="footer"/>
    <w:basedOn w:val="Normal"/>
    <w:link w:val="FooterChar"/>
    <w:uiPriority w:val="99"/>
    <w:rsid w:val="00D909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90931"/>
    <w:rPr>
      <w:rFonts w:cs="Times New Roman"/>
    </w:rPr>
  </w:style>
  <w:style w:type="paragraph" w:customStyle="1" w:styleId="A4eNormal">
    <w:name w:val="+A4eNormal"/>
    <w:rsid w:val="00D90931"/>
    <w:pPr>
      <w:spacing w:before="120" w:after="120" w:line="264" w:lineRule="auto"/>
      <w:ind w:left="709"/>
      <w:jc w:val="both"/>
    </w:pPr>
    <w:rPr>
      <w:szCs w:val="24"/>
    </w:rPr>
  </w:style>
  <w:style w:type="paragraph" w:customStyle="1" w:styleId="A4eHeading1">
    <w:name w:val="+A4eHeading1"/>
    <w:basedOn w:val="A4eNormal"/>
    <w:next w:val="A4eNormal"/>
    <w:uiPriority w:val="99"/>
    <w:rsid w:val="00D90931"/>
    <w:pPr>
      <w:keepNext/>
      <w:numPr>
        <w:numId w:val="2"/>
      </w:numPr>
      <w:spacing w:before="240" w:after="60"/>
      <w:outlineLvl w:val="0"/>
    </w:pPr>
    <w:rPr>
      <w:b/>
      <w:kern w:val="32"/>
      <w:sz w:val="32"/>
      <w:szCs w:val="32"/>
    </w:rPr>
  </w:style>
  <w:style w:type="paragraph" w:customStyle="1" w:styleId="A4ebullsub1">
    <w:name w:val="+A4ebullsub1"/>
    <w:basedOn w:val="A4eNormal"/>
    <w:uiPriority w:val="99"/>
    <w:rsid w:val="00D90931"/>
    <w:pPr>
      <w:numPr>
        <w:numId w:val="1"/>
      </w:numPr>
      <w:spacing w:before="20" w:after="20"/>
    </w:pPr>
  </w:style>
  <w:style w:type="paragraph" w:customStyle="1" w:styleId="A4eHeading3">
    <w:name w:val="+A4eHeading3"/>
    <w:basedOn w:val="A4eHeading1"/>
    <w:next w:val="A4eNormal"/>
    <w:uiPriority w:val="99"/>
    <w:rsid w:val="00D90931"/>
    <w:pPr>
      <w:numPr>
        <w:ilvl w:val="2"/>
      </w:numPr>
      <w:outlineLvl w:val="2"/>
    </w:pPr>
    <w:rPr>
      <w:sz w:val="26"/>
      <w:szCs w:val="26"/>
    </w:rPr>
  </w:style>
  <w:style w:type="paragraph" w:customStyle="1" w:styleId="A4eHeading2">
    <w:name w:val="+A4eHeading2"/>
    <w:basedOn w:val="A4eHeading1"/>
    <w:next w:val="A4eNormal"/>
    <w:uiPriority w:val="99"/>
    <w:rsid w:val="00D90931"/>
    <w:pPr>
      <w:numPr>
        <w:ilvl w:val="1"/>
      </w:numPr>
      <w:outlineLvl w:val="1"/>
    </w:pPr>
    <w:rPr>
      <w:sz w:val="28"/>
    </w:rPr>
  </w:style>
  <w:style w:type="paragraph" w:customStyle="1" w:styleId="CharCharChar">
    <w:name w:val="Char Char Char"/>
    <w:basedOn w:val="Normal"/>
    <w:uiPriority w:val="99"/>
    <w:rsid w:val="00457E3E"/>
    <w:pPr>
      <w:spacing w:after="160" w:line="240" w:lineRule="exact"/>
    </w:pPr>
    <w:rPr>
      <w:rFonts w:ascii="Verdana" w:hAnsi="Verdana" w:cs="Verdana"/>
      <w:sz w:val="20"/>
      <w:szCs w:val="20"/>
      <w:lang w:val="en-US" w:eastAsia="en-US"/>
    </w:rPr>
  </w:style>
  <w:style w:type="paragraph" w:styleId="ListParagraph">
    <w:name w:val="List Paragraph"/>
    <w:basedOn w:val="Normal"/>
    <w:uiPriority w:val="99"/>
    <w:qFormat/>
    <w:rsid w:val="00794AA3"/>
    <w:pPr>
      <w:ind w:left="720"/>
      <w:contextualSpacing/>
    </w:pPr>
  </w:style>
  <w:style w:type="paragraph" w:customStyle="1" w:styleId="A4eCaption">
    <w:name w:val="+A4eCaption"/>
    <w:basedOn w:val="A4eNormal"/>
    <w:next w:val="A4eNormal"/>
    <w:uiPriority w:val="99"/>
    <w:rsid w:val="008B6AC1"/>
    <w:pPr>
      <w:ind w:left="0"/>
      <w:jc w:val="center"/>
    </w:pPr>
    <w:rPr>
      <w:b/>
      <w:sz w:val="18"/>
      <w:szCs w:val="20"/>
    </w:rPr>
  </w:style>
  <w:style w:type="character" w:styleId="Hyperlink">
    <w:name w:val="Hyperlink"/>
    <w:basedOn w:val="DefaultParagraphFont"/>
    <w:uiPriority w:val="99"/>
    <w:rsid w:val="008B6AC1"/>
    <w:rPr>
      <w:rFonts w:cs="Times New Roman"/>
      <w:color w:val="0000FF"/>
      <w:u w:val="single"/>
    </w:rPr>
  </w:style>
  <w:style w:type="table" w:styleId="TableGrid">
    <w:name w:val="Table Grid"/>
    <w:basedOn w:val="TableNormal"/>
    <w:uiPriority w:val="99"/>
    <w:rsid w:val="008B6A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02535"/>
    <w:rPr>
      <w:rFonts w:ascii="Tahoma" w:hAnsi="Tahoma" w:cs="Tahoma"/>
      <w:sz w:val="16"/>
      <w:szCs w:val="16"/>
    </w:rPr>
  </w:style>
  <w:style w:type="character" w:customStyle="1" w:styleId="BalloonTextChar">
    <w:name w:val="Balloon Text Char"/>
    <w:basedOn w:val="DefaultParagraphFont"/>
    <w:link w:val="BalloonText"/>
    <w:uiPriority w:val="99"/>
    <w:semiHidden/>
    <w:rsid w:val="00522E9D"/>
    <w:rPr>
      <w:rFonts w:ascii="Times New Roman" w:hAnsi="Times New Roman"/>
      <w:sz w:val="0"/>
      <w:szCs w:val="0"/>
    </w:rPr>
  </w:style>
  <w:style w:type="paragraph" w:styleId="FootnoteText">
    <w:name w:val="footnote text"/>
    <w:basedOn w:val="Normal"/>
    <w:link w:val="FootnoteTextChar"/>
    <w:uiPriority w:val="99"/>
    <w:semiHidden/>
    <w:rsid w:val="00FA4865"/>
    <w:rPr>
      <w:sz w:val="20"/>
      <w:szCs w:val="20"/>
    </w:rPr>
  </w:style>
  <w:style w:type="character" w:customStyle="1" w:styleId="FootnoteTextChar">
    <w:name w:val="Footnote Text Char"/>
    <w:basedOn w:val="DefaultParagraphFont"/>
    <w:link w:val="FootnoteText"/>
    <w:uiPriority w:val="99"/>
    <w:semiHidden/>
    <w:rsid w:val="00522E9D"/>
    <w:rPr>
      <w:sz w:val="20"/>
      <w:szCs w:val="20"/>
    </w:rPr>
  </w:style>
  <w:style w:type="character" w:styleId="FootnoteReference">
    <w:name w:val="footnote reference"/>
    <w:basedOn w:val="DefaultParagraphFont"/>
    <w:uiPriority w:val="99"/>
    <w:semiHidden/>
    <w:rsid w:val="00FA4865"/>
    <w:rPr>
      <w:rFonts w:cs="Times New Roman"/>
      <w:vertAlign w:val="superscript"/>
    </w:rPr>
  </w:style>
  <w:style w:type="paragraph" w:customStyle="1" w:styleId="A4ebullsub2">
    <w:name w:val="+A4ebullsub2"/>
    <w:basedOn w:val="Normal"/>
    <w:uiPriority w:val="99"/>
    <w:rsid w:val="00803651"/>
    <w:pPr>
      <w:numPr>
        <w:ilvl w:val="1"/>
        <w:numId w:val="13"/>
      </w:numPr>
    </w:pPr>
  </w:style>
  <w:style w:type="character" w:styleId="FollowedHyperlink">
    <w:name w:val="FollowedHyperlink"/>
    <w:basedOn w:val="DefaultParagraphFont"/>
    <w:uiPriority w:val="99"/>
    <w:semiHidden/>
    <w:unhideWhenUsed/>
    <w:rsid w:val="00D52AF8"/>
    <w:rPr>
      <w:color w:val="800080" w:themeColor="followedHyperlink"/>
      <w:u w:val="single"/>
    </w:rPr>
  </w:style>
  <w:style w:type="character" w:styleId="CommentReference">
    <w:name w:val="annotation reference"/>
    <w:basedOn w:val="DefaultParagraphFont"/>
    <w:uiPriority w:val="99"/>
    <w:semiHidden/>
    <w:unhideWhenUsed/>
    <w:rsid w:val="000146B4"/>
    <w:rPr>
      <w:sz w:val="16"/>
      <w:szCs w:val="16"/>
    </w:rPr>
  </w:style>
  <w:style w:type="paragraph" w:styleId="CommentText">
    <w:name w:val="annotation text"/>
    <w:basedOn w:val="Normal"/>
    <w:link w:val="CommentTextChar"/>
    <w:uiPriority w:val="99"/>
    <w:semiHidden/>
    <w:unhideWhenUsed/>
    <w:rsid w:val="000146B4"/>
    <w:pPr>
      <w:spacing w:line="240" w:lineRule="auto"/>
    </w:pPr>
    <w:rPr>
      <w:sz w:val="20"/>
      <w:szCs w:val="20"/>
    </w:rPr>
  </w:style>
  <w:style w:type="character" w:customStyle="1" w:styleId="CommentTextChar">
    <w:name w:val="Comment Text Char"/>
    <w:basedOn w:val="DefaultParagraphFont"/>
    <w:link w:val="CommentText"/>
    <w:uiPriority w:val="99"/>
    <w:semiHidden/>
    <w:rsid w:val="000146B4"/>
    <w:rPr>
      <w:sz w:val="20"/>
      <w:szCs w:val="20"/>
    </w:rPr>
  </w:style>
  <w:style w:type="paragraph" w:styleId="CommentSubject">
    <w:name w:val="annotation subject"/>
    <w:basedOn w:val="CommentText"/>
    <w:next w:val="CommentText"/>
    <w:link w:val="CommentSubjectChar"/>
    <w:uiPriority w:val="99"/>
    <w:semiHidden/>
    <w:unhideWhenUsed/>
    <w:rsid w:val="000146B4"/>
    <w:rPr>
      <w:b/>
      <w:bCs/>
    </w:rPr>
  </w:style>
  <w:style w:type="character" w:customStyle="1" w:styleId="CommentSubjectChar">
    <w:name w:val="Comment Subject Char"/>
    <w:basedOn w:val="CommentTextChar"/>
    <w:link w:val="CommentSubject"/>
    <w:uiPriority w:val="99"/>
    <w:semiHidden/>
    <w:rsid w:val="000146B4"/>
    <w:rPr>
      <w:b/>
      <w:bCs/>
      <w:sz w:val="20"/>
      <w:szCs w:val="20"/>
    </w:rPr>
  </w:style>
  <w:style w:type="paragraph" w:styleId="DocumentMap">
    <w:name w:val="Document Map"/>
    <w:basedOn w:val="Normal"/>
    <w:link w:val="DocumentMapChar"/>
    <w:uiPriority w:val="99"/>
    <w:semiHidden/>
    <w:unhideWhenUsed/>
    <w:rsid w:val="00696BA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6BA4"/>
    <w:rPr>
      <w:rFonts w:ascii="Tahoma" w:hAnsi="Tahoma" w:cs="Tahoma"/>
      <w:sz w:val="16"/>
      <w:szCs w:val="16"/>
    </w:rPr>
  </w:style>
  <w:style w:type="paragraph" w:styleId="Revision">
    <w:name w:val="Revision"/>
    <w:hidden/>
    <w:uiPriority w:val="99"/>
    <w:semiHidden/>
    <w:rsid w:val="00985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09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90931"/>
    <w:rPr>
      <w:rFonts w:cs="Times New Roman"/>
    </w:rPr>
  </w:style>
  <w:style w:type="paragraph" w:styleId="Footer">
    <w:name w:val="footer"/>
    <w:basedOn w:val="Normal"/>
    <w:link w:val="FooterChar"/>
    <w:uiPriority w:val="99"/>
    <w:rsid w:val="00D909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90931"/>
    <w:rPr>
      <w:rFonts w:cs="Times New Roman"/>
    </w:rPr>
  </w:style>
  <w:style w:type="paragraph" w:customStyle="1" w:styleId="A4eNormal">
    <w:name w:val="+A4eNormal"/>
    <w:rsid w:val="00D90931"/>
    <w:pPr>
      <w:spacing w:before="120" w:after="120" w:line="264" w:lineRule="auto"/>
      <w:ind w:left="709"/>
      <w:jc w:val="both"/>
    </w:pPr>
    <w:rPr>
      <w:szCs w:val="24"/>
    </w:rPr>
  </w:style>
  <w:style w:type="paragraph" w:customStyle="1" w:styleId="A4eHeading1">
    <w:name w:val="+A4eHeading1"/>
    <w:basedOn w:val="A4eNormal"/>
    <w:next w:val="A4eNormal"/>
    <w:uiPriority w:val="99"/>
    <w:rsid w:val="00D90931"/>
    <w:pPr>
      <w:keepNext/>
      <w:numPr>
        <w:numId w:val="2"/>
      </w:numPr>
      <w:spacing w:before="240" w:after="60"/>
      <w:outlineLvl w:val="0"/>
    </w:pPr>
    <w:rPr>
      <w:b/>
      <w:kern w:val="32"/>
      <w:sz w:val="32"/>
      <w:szCs w:val="32"/>
    </w:rPr>
  </w:style>
  <w:style w:type="paragraph" w:customStyle="1" w:styleId="A4ebullsub1">
    <w:name w:val="+A4ebullsub1"/>
    <w:basedOn w:val="A4eNormal"/>
    <w:uiPriority w:val="99"/>
    <w:rsid w:val="00D90931"/>
    <w:pPr>
      <w:numPr>
        <w:numId w:val="1"/>
      </w:numPr>
      <w:spacing w:before="20" w:after="20"/>
    </w:pPr>
  </w:style>
  <w:style w:type="paragraph" w:customStyle="1" w:styleId="A4eHeading3">
    <w:name w:val="+A4eHeading3"/>
    <w:basedOn w:val="A4eHeading1"/>
    <w:next w:val="A4eNormal"/>
    <w:uiPriority w:val="99"/>
    <w:rsid w:val="00D90931"/>
    <w:pPr>
      <w:numPr>
        <w:ilvl w:val="2"/>
      </w:numPr>
      <w:outlineLvl w:val="2"/>
    </w:pPr>
    <w:rPr>
      <w:sz w:val="26"/>
      <w:szCs w:val="26"/>
    </w:rPr>
  </w:style>
  <w:style w:type="paragraph" w:customStyle="1" w:styleId="A4eHeading2">
    <w:name w:val="+A4eHeading2"/>
    <w:basedOn w:val="A4eHeading1"/>
    <w:next w:val="A4eNormal"/>
    <w:uiPriority w:val="99"/>
    <w:rsid w:val="00D90931"/>
    <w:pPr>
      <w:numPr>
        <w:ilvl w:val="1"/>
      </w:numPr>
      <w:outlineLvl w:val="1"/>
    </w:pPr>
    <w:rPr>
      <w:sz w:val="28"/>
    </w:rPr>
  </w:style>
  <w:style w:type="paragraph" w:customStyle="1" w:styleId="CharCharChar">
    <w:name w:val="Char Char Char"/>
    <w:basedOn w:val="Normal"/>
    <w:uiPriority w:val="99"/>
    <w:rsid w:val="00457E3E"/>
    <w:pPr>
      <w:spacing w:after="160" w:line="240" w:lineRule="exact"/>
    </w:pPr>
    <w:rPr>
      <w:rFonts w:ascii="Verdana" w:hAnsi="Verdana" w:cs="Verdana"/>
      <w:sz w:val="20"/>
      <w:szCs w:val="20"/>
      <w:lang w:val="en-US" w:eastAsia="en-US"/>
    </w:rPr>
  </w:style>
  <w:style w:type="paragraph" w:styleId="ListParagraph">
    <w:name w:val="List Paragraph"/>
    <w:basedOn w:val="Normal"/>
    <w:uiPriority w:val="99"/>
    <w:qFormat/>
    <w:rsid w:val="00794AA3"/>
    <w:pPr>
      <w:ind w:left="720"/>
      <w:contextualSpacing/>
    </w:pPr>
  </w:style>
  <w:style w:type="paragraph" w:customStyle="1" w:styleId="A4eCaption">
    <w:name w:val="+A4eCaption"/>
    <w:basedOn w:val="A4eNormal"/>
    <w:next w:val="A4eNormal"/>
    <w:uiPriority w:val="99"/>
    <w:rsid w:val="008B6AC1"/>
    <w:pPr>
      <w:ind w:left="0"/>
      <w:jc w:val="center"/>
    </w:pPr>
    <w:rPr>
      <w:b/>
      <w:sz w:val="18"/>
      <w:szCs w:val="20"/>
    </w:rPr>
  </w:style>
  <w:style w:type="character" w:styleId="Hyperlink">
    <w:name w:val="Hyperlink"/>
    <w:basedOn w:val="DefaultParagraphFont"/>
    <w:uiPriority w:val="99"/>
    <w:rsid w:val="008B6AC1"/>
    <w:rPr>
      <w:rFonts w:cs="Times New Roman"/>
      <w:color w:val="0000FF"/>
      <w:u w:val="single"/>
    </w:rPr>
  </w:style>
  <w:style w:type="table" w:styleId="TableGrid">
    <w:name w:val="Table Grid"/>
    <w:basedOn w:val="TableNormal"/>
    <w:uiPriority w:val="99"/>
    <w:rsid w:val="008B6A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02535"/>
    <w:rPr>
      <w:rFonts w:ascii="Tahoma" w:hAnsi="Tahoma" w:cs="Tahoma"/>
      <w:sz w:val="16"/>
      <w:szCs w:val="16"/>
    </w:rPr>
  </w:style>
  <w:style w:type="character" w:customStyle="1" w:styleId="BalloonTextChar">
    <w:name w:val="Balloon Text Char"/>
    <w:basedOn w:val="DefaultParagraphFont"/>
    <w:link w:val="BalloonText"/>
    <w:uiPriority w:val="99"/>
    <w:semiHidden/>
    <w:rsid w:val="00522E9D"/>
    <w:rPr>
      <w:rFonts w:ascii="Times New Roman" w:hAnsi="Times New Roman"/>
      <w:sz w:val="0"/>
      <w:szCs w:val="0"/>
    </w:rPr>
  </w:style>
  <w:style w:type="paragraph" w:styleId="FootnoteText">
    <w:name w:val="footnote text"/>
    <w:basedOn w:val="Normal"/>
    <w:link w:val="FootnoteTextChar"/>
    <w:uiPriority w:val="99"/>
    <w:semiHidden/>
    <w:rsid w:val="00FA4865"/>
    <w:rPr>
      <w:sz w:val="20"/>
      <w:szCs w:val="20"/>
    </w:rPr>
  </w:style>
  <w:style w:type="character" w:customStyle="1" w:styleId="FootnoteTextChar">
    <w:name w:val="Footnote Text Char"/>
    <w:basedOn w:val="DefaultParagraphFont"/>
    <w:link w:val="FootnoteText"/>
    <w:uiPriority w:val="99"/>
    <w:semiHidden/>
    <w:rsid w:val="00522E9D"/>
    <w:rPr>
      <w:sz w:val="20"/>
      <w:szCs w:val="20"/>
    </w:rPr>
  </w:style>
  <w:style w:type="character" w:styleId="FootnoteReference">
    <w:name w:val="footnote reference"/>
    <w:basedOn w:val="DefaultParagraphFont"/>
    <w:uiPriority w:val="99"/>
    <w:semiHidden/>
    <w:rsid w:val="00FA4865"/>
    <w:rPr>
      <w:rFonts w:cs="Times New Roman"/>
      <w:vertAlign w:val="superscript"/>
    </w:rPr>
  </w:style>
  <w:style w:type="paragraph" w:customStyle="1" w:styleId="A4ebullsub2">
    <w:name w:val="+A4ebullsub2"/>
    <w:basedOn w:val="Normal"/>
    <w:uiPriority w:val="99"/>
    <w:rsid w:val="00803651"/>
    <w:pPr>
      <w:numPr>
        <w:ilvl w:val="1"/>
        <w:numId w:val="13"/>
      </w:numPr>
    </w:pPr>
  </w:style>
  <w:style w:type="character" w:styleId="FollowedHyperlink">
    <w:name w:val="FollowedHyperlink"/>
    <w:basedOn w:val="DefaultParagraphFont"/>
    <w:uiPriority w:val="99"/>
    <w:semiHidden/>
    <w:unhideWhenUsed/>
    <w:rsid w:val="00D52AF8"/>
    <w:rPr>
      <w:color w:val="800080" w:themeColor="followedHyperlink"/>
      <w:u w:val="single"/>
    </w:rPr>
  </w:style>
  <w:style w:type="character" w:styleId="CommentReference">
    <w:name w:val="annotation reference"/>
    <w:basedOn w:val="DefaultParagraphFont"/>
    <w:uiPriority w:val="99"/>
    <w:semiHidden/>
    <w:unhideWhenUsed/>
    <w:rsid w:val="000146B4"/>
    <w:rPr>
      <w:sz w:val="16"/>
      <w:szCs w:val="16"/>
    </w:rPr>
  </w:style>
  <w:style w:type="paragraph" w:styleId="CommentText">
    <w:name w:val="annotation text"/>
    <w:basedOn w:val="Normal"/>
    <w:link w:val="CommentTextChar"/>
    <w:uiPriority w:val="99"/>
    <w:semiHidden/>
    <w:unhideWhenUsed/>
    <w:rsid w:val="000146B4"/>
    <w:pPr>
      <w:spacing w:line="240" w:lineRule="auto"/>
    </w:pPr>
    <w:rPr>
      <w:sz w:val="20"/>
      <w:szCs w:val="20"/>
    </w:rPr>
  </w:style>
  <w:style w:type="character" w:customStyle="1" w:styleId="CommentTextChar">
    <w:name w:val="Comment Text Char"/>
    <w:basedOn w:val="DefaultParagraphFont"/>
    <w:link w:val="CommentText"/>
    <w:uiPriority w:val="99"/>
    <w:semiHidden/>
    <w:rsid w:val="000146B4"/>
    <w:rPr>
      <w:sz w:val="20"/>
      <w:szCs w:val="20"/>
    </w:rPr>
  </w:style>
  <w:style w:type="paragraph" w:styleId="CommentSubject">
    <w:name w:val="annotation subject"/>
    <w:basedOn w:val="CommentText"/>
    <w:next w:val="CommentText"/>
    <w:link w:val="CommentSubjectChar"/>
    <w:uiPriority w:val="99"/>
    <w:semiHidden/>
    <w:unhideWhenUsed/>
    <w:rsid w:val="000146B4"/>
    <w:rPr>
      <w:b/>
      <w:bCs/>
    </w:rPr>
  </w:style>
  <w:style w:type="character" w:customStyle="1" w:styleId="CommentSubjectChar">
    <w:name w:val="Comment Subject Char"/>
    <w:basedOn w:val="CommentTextChar"/>
    <w:link w:val="CommentSubject"/>
    <w:uiPriority w:val="99"/>
    <w:semiHidden/>
    <w:rsid w:val="000146B4"/>
    <w:rPr>
      <w:b/>
      <w:bCs/>
      <w:sz w:val="20"/>
      <w:szCs w:val="20"/>
    </w:rPr>
  </w:style>
  <w:style w:type="paragraph" w:styleId="DocumentMap">
    <w:name w:val="Document Map"/>
    <w:basedOn w:val="Normal"/>
    <w:link w:val="DocumentMapChar"/>
    <w:uiPriority w:val="99"/>
    <w:semiHidden/>
    <w:unhideWhenUsed/>
    <w:rsid w:val="00696BA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6BA4"/>
    <w:rPr>
      <w:rFonts w:ascii="Tahoma" w:hAnsi="Tahoma" w:cs="Tahoma"/>
      <w:sz w:val="16"/>
      <w:szCs w:val="16"/>
    </w:rPr>
  </w:style>
  <w:style w:type="paragraph" w:styleId="Revision">
    <w:name w:val="Revision"/>
    <w:hidden/>
    <w:uiPriority w:val="99"/>
    <w:semiHidden/>
    <w:rsid w:val="0098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social-impact-bond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abel version="1.0">
  <element uid="id_unclassified"/>
  <element uid="id_newpolicy" value=""/>
</label>
</file>

<file path=customXml/itemProps1.xml><?xml version="1.0" encoding="utf-8"?>
<ds:datastoreItem xmlns:ds="http://schemas.openxmlformats.org/officeDocument/2006/customXml" ds:itemID="{BB8CDC2F-F2C0-4ADC-8AF3-A19A81CFFBE4}">
  <ds:schemaRefs/>
</ds:datastoreItem>
</file>

<file path=docProps/app.xml><?xml version="1.0" encoding="utf-8"?>
<Properties xmlns="http://schemas.openxmlformats.org/officeDocument/2006/extended-properties" xmlns:vt="http://schemas.openxmlformats.org/officeDocument/2006/docPropsVTypes">
  <Template>627ABB70.dotm</Template>
  <TotalTime>0</TotalTime>
  <Pages>8</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Turning around the lives of troubled families: a data gathering how-to guide for local areas</vt:lpstr>
    </vt:vector>
  </TitlesOfParts>
  <Company>Flex</Company>
  <LinksUpToDate>false</LinksUpToDate>
  <CharactersWithSpaces>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Turning around the lives of troubled families: a data gathering how-to guide for local areas</dc:title>
  <dc:creator>Jim Robinson</dc:creator>
  <cp:lastModifiedBy>MNelson</cp:lastModifiedBy>
  <cp:revision>2</cp:revision>
  <cp:lastPrinted>2013-01-24T13:45:00Z</cp:lastPrinted>
  <dcterms:created xsi:type="dcterms:W3CDTF">2013-02-06T15:52:00Z</dcterms:created>
  <dcterms:modified xsi:type="dcterms:W3CDTF">2013-02-06T15:52:00Z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38fe58e1-e213-4ded-a0ce-c16d34c35607</vt:lpwstr>
  </property>
  <property fmtid="{D5CDD505-2E9C-101B-9397-08002B2CF9AE}" pid="15" name="bjHeadersRemoved">
    <vt:lpwstr>true</vt:lpwstr>
  </property>
</Properties>
</file>